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DF9D5" w14:textId="77777777" w:rsidR="00AD0FB8" w:rsidRPr="00AD0FB8" w:rsidRDefault="00AD0FB8" w:rsidP="00AD0FB8">
      <w:pPr>
        <w:pStyle w:val="Annex"/>
        <w:jc w:val="center"/>
        <w:rPr>
          <w:rFonts w:cs="Times New Roman"/>
        </w:rPr>
      </w:pPr>
      <w:bookmarkStart w:id="0" w:name="_Hlk136333791"/>
      <w:r w:rsidRPr="00AD0FB8">
        <w:t>PRÍLOHA 3 – UPLATŇOVANÉ SADZBY</w:t>
      </w:r>
    </w:p>
    <w:p w14:paraId="432A8A5D" w14:textId="64772E57" w:rsidR="00AD0FB8" w:rsidRPr="00AD0FB8" w:rsidRDefault="00AD0FB8" w:rsidP="00AD0FB8">
      <w:pPr>
        <w:tabs>
          <w:tab w:val="left" w:pos="851"/>
        </w:tabs>
        <w:suppressAutoHyphens/>
        <w:rPr>
          <w:rFonts w:ascii="Times New Roman" w:hAnsi="Times New Roman" w:cs="Times New Roman"/>
          <w:b/>
          <w:szCs w:val="24"/>
          <w:lang w:val="sk-SK"/>
        </w:rPr>
      </w:pPr>
      <w:r w:rsidRPr="00AD0FB8">
        <w:rPr>
          <w:rFonts w:ascii="Times New Roman" w:hAnsi="Times New Roman"/>
          <w:b/>
          <w:lang w:val="sk-SK"/>
        </w:rPr>
        <w:t>1. Podpora na cestovné náklady 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972"/>
        <w:gridCol w:w="2978"/>
        <w:gridCol w:w="3117"/>
      </w:tblGrid>
      <w:tr w:rsidR="00B74703" w:rsidRPr="00AD0FB8" w14:paraId="57E508B0" w14:textId="77777777" w:rsidTr="00B74703">
        <w:tc>
          <w:tcPr>
            <w:tcW w:w="1639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0B321FC7" w14:textId="77777777" w:rsidR="00B74703" w:rsidRPr="00AD0FB8" w:rsidRDefault="00B74703" w:rsidP="00B7470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val="sk-SK"/>
              </w:rPr>
            </w:pPr>
            <w:r w:rsidRPr="00AD0FB8">
              <w:rPr>
                <w:rFonts w:ascii="Times New Roman" w:hAnsi="Times New Roman"/>
                <w:b/>
                <w:snapToGrid w:val="0"/>
                <w:lang w:val="sk-SK"/>
              </w:rPr>
              <w:t>Cestovné vzdialenosti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F7C7ADD" w14:textId="27D12D6A" w:rsidR="00B74703" w:rsidRDefault="00B74703" w:rsidP="00B7470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b/>
                <w:snapToGrid w:val="0"/>
                <w:lang w:val="sk-SK"/>
              </w:rPr>
            </w:pPr>
            <w:r w:rsidRPr="00AD0FB8">
              <w:rPr>
                <w:rFonts w:ascii="Times New Roman" w:hAnsi="Times New Roman"/>
                <w:b/>
                <w:snapToGrid w:val="0"/>
                <w:lang w:val="sk-SK"/>
              </w:rPr>
              <w:t>Zelené cestovanie – suma</w:t>
            </w:r>
          </w:p>
        </w:tc>
        <w:tc>
          <w:tcPr>
            <w:tcW w:w="1719" w:type="pct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7C85EE6" w14:textId="431AD0DF" w:rsidR="00B74703" w:rsidRPr="00AD0FB8" w:rsidRDefault="00B74703" w:rsidP="00B7470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snapToGrid w:val="0"/>
                <w:kern w:val="3"/>
                <w:szCs w:val="24"/>
                <w:lang w:val="sk-SK"/>
              </w:rPr>
            </w:pPr>
            <w:r>
              <w:rPr>
                <w:rFonts w:ascii="Times New Roman" w:hAnsi="Times New Roman"/>
                <w:b/>
                <w:snapToGrid w:val="0"/>
                <w:lang w:val="sk-SK"/>
              </w:rPr>
              <w:t>Iné ako zelené</w:t>
            </w:r>
            <w:r w:rsidRPr="00AD0FB8">
              <w:rPr>
                <w:rFonts w:ascii="Times New Roman" w:hAnsi="Times New Roman"/>
                <w:b/>
                <w:snapToGrid w:val="0"/>
                <w:lang w:val="sk-SK"/>
              </w:rPr>
              <w:t xml:space="preserve"> cestovanie – suma</w:t>
            </w:r>
          </w:p>
        </w:tc>
      </w:tr>
      <w:tr w:rsidR="00B74703" w:rsidRPr="00AD0FB8" w14:paraId="776F6E4A" w14:textId="77777777" w:rsidTr="00B74703">
        <w:trPr>
          <w:trHeight w:val="236"/>
        </w:trPr>
        <w:tc>
          <w:tcPr>
            <w:tcW w:w="1639" w:type="pct"/>
            <w:vAlign w:val="center"/>
          </w:tcPr>
          <w:p w14:paraId="088B1C89" w14:textId="7B01FEDB" w:rsidR="00B74703" w:rsidRPr="00AD0FB8" w:rsidRDefault="00B74703" w:rsidP="00B7470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val="sk-SK"/>
              </w:rPr>
            </w:pPr>
            <w:r>
              <w:rPr>
                <w:rFonts w:ascii="Times New Roman" w:hAnsi="Times New Roman"/>
                <w:snapToGrid w:val="0"/>
                <w:lang w:val="sk-SK"/>
              </w:rPr>
              <w:t>o</w:t>
            </w:r>
            <w:r w:rsidRPr="00AD0FB8">
              <w:rPr>
                <w:rFonts w:ascii="Times New Roman" w:hAnsi="Times New Roman"/>
                <w:snapToGrid w:val="0"/>
                <w:lang w:val="sk-SK"/>
              </w:rPr>
              <w:t>d 10 km do 99 km:</w:t>
            </w:r>
          </w:p>
        </w:tc>
        <w:tc>
          <w:tcPr>
            <w:tcW w:w="1642" w:type="pct"/>
            <w:shd w:val="clear" w:color="auto" w:fill="auto"/>
          </w:tcPr>
          <w:p w14:paraId="44E0A2A9" w14:textId="02EC9A88" w:rsidR="00B74703" w:rsidRPr="00AD0FB8" w:rsidRDefault="00B74703" w:rsidP="00B7470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val="sk-SK" w:eastAsia="zh-CN"/>
              </w:rPr>
            </w:pPr>
            <w:r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val="sk-SK" w:eastAsia="zh-CN"/>
              </w:rPr>
              <w:t>56 EUR</w:t>
            </w:r>
          </w:p>
        </w:tc>
        <w:tc>
          <w:tcPr>
            <w:tcW w:w="1719" w:type="pct"/>
            <w:shd w:val="clear" w:color="auto" w:fill="auto"/>
          </w:tcPr>
          <w:p w14:paraId="0020ABCE" w14:textId="7019E09E" w:rsidR="00B74703" w:rsidRPr="00AD0FB8" w:rsidRDefault="00B74703" w:rsidP="00B7470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val="sk-SK" w:eastAsia="zh-CN"/>
              </w:rPr>
            </w:pPr>
            <w:r>
              <w:rPr>
                <w:rFonts w:ascii="Times New Roman" w:hAnsi="Times New Roman"/>
                <w:snapToGrid w:val="0"/>
                <w:lang w:val="sk-SK"/>
              </w:rPr>
              <w:t>28</w:t>
            </w:r>
            <w:r w:rsidRPr="00AD0FB8">
              <w:rPr>
                <w:rFonts w:ascii="Times New Roman" w:hAnsi="Times New Roman"/>
                <w:snapToGrid w:val="0"/>
                <w:lang w:val="sk-SK"/>
              </w:rPr>
              <w:t xml:space="preserve"> EUR </w:t>
            </w:r>
          </w:p>
        </w:tc>
      </w:tr>
      <w:tr w:rsidR="00B74703" w:rsidRPr="00AD0FB8" w14:paraId="27437D01" w14:textId="77777777" w:rsidTr="00B74703">
        <w:trPr>
          <w:trHeight w:val="236"/>
        </w:trPr>
        <w:tc>
          <w:tcPr>
            <w:tcW w:w="1639" w:type="pct"/>
            <w:vAlign w:val="center"/>
          </w:tcPr>
          <w:p w14:paraId="08E70F56" w14:textId="57BD3C12" w:rsidR="00B74703" w:rsidRPr="00AD0FB8" w:rsidRDefault="00B74703" w:rsidP="00B7470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val="sk-SK"/>
              </w:rPr>
            </w:pPr>
            <w:r>
              <w:rPr>
                <w:rFonts w:ascii="Times New Roman" w:hAnsi="Times New Roman"/>
                <w:snapToGrid w:val="0"/>
                <w:lang w:val="sk-SK"/>
              </w:rPr>
              <w:t>o</w:t>
            </w:r>
            <w:r w:rsidRPr="00AD0FB8">
              <w:rPr>
                <w:rFonts w:ascii="Times New Roman" w:hAnsi="Times New Roman"/>
                <w:snapToGrid w:val="0"/>
                <w:lang w:val="sk-SK"/>
              </w:rPr>
              <w:t>d 100 km do 499 km:</w:t>
            </w:r>
          </w:p>
        </w:tc>
        <w:tc>
          <w:tcPr>
            <w:tcW w:w="1642" w:type="pct"/>
            <w:shd w:val="clear" w:color="auto" w:fill="auto"/>
          </w:tcPr>
          <w:p w14:paraId="6E75A521" w14:textId="0E9DFDA6" w:rsidR="00B74703" w:rsidRPr="00AD0FB8" w:rsidRDefault="00B74703" w:rsidP="00B7470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napToGrid w:val="0"/>
                <w:lang w:val="sk-SK"/>
              </w:rPr>
            </w:pPr>
            <w:r>
              <w:rPr>
                <w:rFonts w:ascii="Times New Roman" w:hAnsi="Times New Roman"/>
                <w:snapToGrid w:val="0"/>
                <w:lang w:val="sk-SK"/>
              </w:rPr>
              <w:t>285</w:t>
            </w:r>
            <w:r w:rsidRPr="00AD0FB8">
              <w:rPr>
                <w:rFonts w:ascii="Times New Roman" w:hAnsi="Times New Roman"/>
                <w:snapToGrid w:val="0"/>
                <w:lang w:val="sk-SK"/>
              </w:rPr>
              <w:t xml:space="preserve"> EUR </w:t>
            </w:r>
          </w:p>
        </w:tc>
        <w:tc>
          <w:tcPr>
            <w:tcW w:w="1719" w:type="pct"/>
            <w:shd w:val="clear" w:color="auto" w:fill="auto"/>
          </w:tcPr>
          <w:p w14:paraId="3B50A056" w14:textId="1C85C99C" w:rsidR="00B74703" w:rsidRPr="00AD0FB8" w:rsidRDefault="00B74703" w:rsidP="00B7470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val="sk-SK"/>
              </w:rPr>
            </w:pPr>
            <w:r>
              <w:rPr>
                <w:rFonts w:ascii="Times New Roman" w:hAnsi="Times New Roman"/>
                <w:snapToGrid w:val="0"/>
                <w:lang w:val="sk-SK"/>
              </w:rPr>
              <w:t>211</w:t>
            </w:r>
            <w:r w:rsidRPr="00AD0FB8">
              <w:rPr>
                <w:rFonts w:ascii="Times New Roman" w:hAnsi="Times New Roman"/>
                <w:snapToGrid w:val="0"/>
                <w:lang w:val="sk-SK"/>
              </w:rPr>
              <w:t xml:space="preserve"> EUR </w:t>
            </w:r>
          </w:p>
        </w:tc>
      </w:tr>
      <w:tr w:rsidR="00B74703" w:rsidRPr="00AD0FB8" w14:paraId="39D90E0F" w14:textId="77777777" w:rsidTr="00B74703">
        <w:trPr>
          <w:trHeight w:val="268"/>
        </w:trPr>
        <w:tc>
          <w:tcPr>
            <w:tcW w:w="1639" w:type="pct"/>
            <w:vAlign w:val="center"/>
          </w:tcPr>
          <w:p w14:paraId="631F64EE" w14:textId="1C40E937" w:rsidR="00B74703" w:rsidRPr="00AD0FB8" w:rsidRDefault="00B74703" w:rsidP="00B7470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val="sk-SK"/>
              </w:rPr>
            </w:pPr>
            <w:r>
              <w:rPr>
                <w:rFonts w:ascii="Times New Roman" w:hAnsi="Times New Roman"/>
                <w:snapToGrid w:val="0"/>
                <w:lang w:val="sk-SK"/>
              </w:rPr>
              <w:t>o</w:t>
            </w:r>
            <w:r w:rsidRPr="00AD0FB8">
              <w:rPr>
                <w:rFonts w:ascii="Times New Roman" w:hAnsi="Times New Roman"/>
                <w:snapToGrid w:val="0"/>
                <w:lang w:val="sk-SK"/>
              </w:rPr>
              <w:t>d 500 km do 1 999 km:</w:t>
            </w:r>
          </w:p>
        </w:tc>
        <w:tc>
          <w:tcPr>
            <w:tcW w:w="1642" w:type="pct"/>
            <w:shd w:val="clear" w:color="auto" w:fill="auto"/>
          </w:tcPr>
          <w:p w14:paraId="467BD12D" w14:textId="69ED51A9" w:rsidR="00B74703" w:rsidRPr="00AD0FB8" w:rsidRDefault="00B74703" w:rsidP="00B7470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napToGrid w:val="0"/>
                <w:lang w:val="sk-SK"/>
              </w:rPr>
            </w:pPr>
            <w:r>
              <w:rPr>
                <w:rFonts w:ascii="Times New Roman" w:hAnsi="Times New Roman"/>
                <w:snapToGrid w:val="0"/>
                <w:lang w:val="sk-SK"/>
              </w:rPr>
              <w:t>417</w:t>
            </w:r>
            <w:r w:rsidRPr="00AD0FB8">
              <w:rPr>
                <w:rFonts w:ascii="Times New Roman" w:hAnsi="Times New Roman"/>
                <w:snapToGrid w:val="0"/>
                <w:lang w:val="sk-SK"/>
              </w:rPr>
              <w:t xml:space="preserve"> EUR </w:t>
            </w:r>
          </w:p>
        </w:tc>
        <w:tc>
          <w:tcPr>
            <w:tcW w:w="1719" w:type="pct"/>
            <w:shd w:val="clear" w:color="auto" w:fill="auto"/>
          </w:tcPr>
          <w:p w14:paraId="3C88F179" w14:textId="06BF6D7F" w:rsidR="00B74703" w:rsidRPr="00AD0FB8" w:rsidRDefault="00B74703" w:rsidP="00B7470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val="sk-SK"/>
              </w:rPr>
            </w:pPr>
            <w:r>
              <w:rPr>
                <w:rFonts w:ascii="Times New Roman" w:hAnsi="Times New Roman"/>
                <w:snapToGrid w:val="0"/>
                <w:lang w:val="sk-SK"/>
              </w:rPr>
              <w:t>309</w:t>
            </w:r>
            <w:r w:rsidRPr="00AD0FB8">
              <w:rPr>
                <w:rFonts w:ascii="Times New Roman" w:hAnsi="Times New Roman"/>
                <w:snapToGrid w:val="0"/>
                <w:lang w:val="sk-SK"/>
              </w:rPr>
              <w:t xml:space="preserve"> EUR </w:t>
            </w:r>
          </w:p>
        </w:tc>
      </w:tr>
      <w:tr w:rsidR="00B74703" w:rsidRPr="00AD0FB8" w14:paraId="647D5A0D" w14:textId="77777777" w:rsidTr="00B74703">
        <w:trPr>
          <w:trHeight w:val="272"/>
        </w:trPr>
        <w:tc>
          <w:tcPr>
            <w:tcW w:w="1639" w:type="pct"/>
            <w:vAlign w:val="center"/>
          </w:tcPr>
          <w:p w14:paraId="56FD2A1E" w14:textId="7F173CB3" w:rsidR="00B74703" w:rsidRPr="00AD0FB8" w:rsidRDefault="00B74703" w:rsidP="00B7470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val="sk-SK"/>
              </w:rPr>
            </w:pPr>
            <w:r>
              <w:rPr>
                <w:rFonts w:ascii="Times New Roman" w:hAnsi="Times New Roman"/>
                <w:snapToGrid w:val="0"/>
                <w:lang w:val="sk-SK"/>
              </w:rPr>
              <w:t>o</w:t>
            </w:r>
            <w:r w:rsidRPr="00AD0FB8">
              <w:rPr>
                <w:rFonts w:ascii="Times New Roman" w:hAnsi="Times New Roman"/>
                <w:snapToGrid w:val="0"/>
                <w:lang w:val="sk-SK"/>
              </w:rPr>
              <w:t>d 2 000 km do 2 999 km:</w:t>
            </w:r>
          </w:p>
        </w:tc>
        <w:tc>
          <w:tcPr>
            <w:tcW w:w="1642" w:type="pct"/>
            <w:shd w:val="clear" w:color="auto" w:fill="auto"/>
          </w:tcPr>
          <w:p w14:paraId="06BF9136" w14:textId="5EEB3CDF" w:rsidR="00B74703" w:rsidRPr="00AD0FB8" w:rsidRDefault="00B74703" w:rsidP="00B7470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napToGrid w:val="0"/>
                <w:lang w:val="sk-SK"/>
              </w:rPr>
            </w:pPr>
            <w:r>
              <w:rPr>
                <w:rFonts w:ascii="Times New Roman" w:hAnsi="Times New Roman"/>
                <w:snapToGrid w:val="0"/>
                <w:lang w:val="sk-SK"/>
              </w:rPr>
              <w:t>535</w:t>
            </w:r>
            <w:r w:rsidRPr="00AD0FB8">
              <w:rPr>
                <w:rFonts w:ascii="Times New Roman" w:hAnsi="Times New Roman"/>
                <w:snapToGrid w:val="0"/>
                <w:lang w:val="sk-SK"/>
              </w:rPr>
              <w:t xml:space="preserve"> EUR </w:t>
            </w:r>
          </w:p>
        </w:tc>
        <w:tc>
          <w:tcPr>
            <w:tcW w:w="1719" w:type="pct"/>
            <w:shd w:val="clear" w:color="auto" w:fill="auto"/>
          </w:tcPr>
          <w:p w14:paraId="7B8BD508" w14:textId="40452A7B" w:rsidR="00B74703" w:rsidRPr="00AD0FB8" w:rsidRDefault="00B74703" w:rsidP="00B7470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val="sk-SK"/>
              </w:rPr>
            </w:pPr>
            <w:r>
              <w:rPr>
                <w:rFonts w:ascii="Times New Roman" w:hAnsi="Times New Roman"/>
                <w:snapToGrid w:val="0"/>
                <w:lang w:val="sk-SK"/>
              </w:rPr>
              <w:t>395</w:t>
            </w:r>
            <w:r w:rsidRPr="00AD0FB8">
              <w:rPr>
                <w:rFonts w:ascii="Times New Roman" w:hAnsi="Times New Roman"/>
                <w:snapToGrid w:val="0"/>
                <w:lang w:val="sk-SK"/>
              </w:rPr>
              <w:t> EUR</w:t>
            </w:r>
          </w:p>
        </w:tc>
      </w:tr>
      <w:tr w:rsidR="00B74703" w:rsidRPr="00AD0FB8" w14:paraId="621348C8" w14:textId="77777777" w:rsidTr="00B74703">
        <w:trPr>
          <w:trHeight w:val="262"/>
        </w:trPr>
        <w:tc>
          <w:tcPr>
            <w:tcW w:w="1639" w:type="pct"/>
            <w:vAlign w:val="center"/>
          </w:tcPr>
          <w:p w14:paraId="37F4A3A7" w14:textId="14F6A855" w:rsidR="00B74703" w:rsidRPr="00AD0FB8" w:rsidRDefault="00B74703" w:rsidP="00B7470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val="sk-SK"/>
              </w:rPr>
            </w:pPr>
            <w:r>
              <w:rPr>
                <w:rFonts w:ascii="Times New Roman" w:hAnsi="Times New Roman"/>
                <w:snapToGrid w:val="0"/>
                <w:lang w:val="sk-SK"/>
              </w:rPr>
              <w:t>o</w:t>
            </w:r>
            <w:r w:rsidRPr="00AD0FB8">
              <w:rPr>
                <w:rFonts w:ascii="Times New Roman" w:hAnsi="Times New Roman"/>
                <w:snapToGrid w:val="0"/>
                <w:lang w:val="sk-SK"/>
              </w:rPr>
              <w:t>d 3 000 km do 3 999 km:</w:t>
            </w:r>
          </w:p>
        </w:tc>
        <w:tc>
          <w:tcPr>
            <w:tcW w:w="1642" w:type="pct"/>
            <w:shd w:val="clear" w:color="auto" w:fill="auto"/>
          </w:tcPr>
          <w:p w14:paraId="721ED7EA" w14:textId="4FDF2D09" w:rsidR="00B74703" w:rsidRPr="00AD0FB8" w:rsidRDefault="00B74703" w:rsidP="00B7470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hAnsi="Times New Roman"/>
                <w:snapToGrid w:val="0"/>
                <w:lang w:val="sk-SK"/>
              </w:rPr>
            </w:pPr>
            <w:r>
              <w:rPr>
                <w:rFonts w:ascii="Times New Roman" w:hAnsi="Times New Roman"/>
                <w:snapToGrid w:val="0"/>
                <w:lang w:val="sk-SK"/>
              </w:rPr>
              <w:t>785</w:t>
            </w:r>
            <w:r w:rsidRPr="00AD0FB8">
              <w:rPr>
                <w:rFonts w:ascii="Times New Roman" w:hAnsi="Times New Roman"/>
                <w:snapToGrid w:val="0"/>
                <w:lang w:val="sk-SK"/>
              </w:rPr>
              <w:t> EUR</w:t>
            </w:r>
          </w:p>
        </w:tc>
        <w:tc>
          <w:tcPr>
            <w:tcW w:w="1719" w:type="pct"/>
            <w:shd w:val="clear" w:color="auto" w:fill="auto"/>
          </w:tcPr>
          <w:p w14:paraId="345236D9" w14:textId="0F06D5C8" w:rsidR="00B74703" w:rsidRPr="00AD0FB8" w:rsidRDefault="00B74703" w:rsidP="00B7470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val="sk-SK"/>
              </w:rPr>
            </w:pPr>
            <w:r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val="sk-SK" w:eastAsia="zh-CN"/>
              </w:rPr>
              <w:t>580 EUR</w:t>
            </w:r>
          </w:p>
        </w:tc>
      </w:tr>
      <w:tr w:rsidR="00B74703" w:rsidRPr="00AD0FB8" w14:paraId="5F5C5C27" w14:textId="77777777" w:rsidTr="00B74703">
        <w:trPr>
          <w:trHeight w:val="280"/>
        </w:trPr>
        <w:tc>
          <w:tcPr>
            <w:tcW w:w="1639" w:type="pct"/>
            <w:vAlign w:val="center"/>
          </w:tcPr>
          <w:p w14:paraId="18DC01EA" w14:textId="209EB8C3" w:rsidR="00B74703" w:rsidRPr="00AD0FB8" w:rsidRDefault="00B74703" w:rsidP="00B7470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val="sk-SK"/>
              </w:rPr>
            </w:pPr>
            <w:r>
              <w:rPr>
                <w:rFonts w:ascii="Times New Roman" w:hAnsi="Times New Roman"/>
                <w:snapToGrid w:val="0"/>
                <w:lang w:val="sk-SK"/>
              </w:rPr>
              <w:t>o</w:t>
            </w:r>
            <w:r w:rsidRPr="00AD0FB8">
              <w:rPr>
                <w:rFonts w:ascii="Times New Roman" w:hAnsi="Times New Roman"/>
                <w:snapToGrid w:val="0"/>
                <w:lang w:val="sk-SK"/>
              </w:rPr>
              <w:t>d 4 000 km do 7 999 km:</w:t>
            </w:r>
          </w:p>
        </w:tc>
        <w:tc>
          <w:tcPr>
            <w:tcW w:w="1642" w:type="pct"/>
            <w:shd w:val="clear" w:color="auto" w:fill="auto"/>
          </w:tcPr>
          <w:p w14:paraId="61EC9470" w14:textId="375AFD8F" w:rsidR="00B74703" w:rsidRPr="00AD0FB8" w:rsidRDefault="00B74703" w:rsidP="00B7470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val="sk-SK" w:eastAsia="zh-CN"/>
              </w:rPr>
            </w:pPr>
            <w:r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val="sk-SK" w:eastAsia="zh-CN"/>
              </w:rPr>
              <w:t>1 188 EUR</w:t>
            </w:r>
          </w:p>
        </w:tc>
        <w:tc>
          <w:tcPr>
            <w:tcW w:w="1719" w:type="pct"/>
            <w:shd w:val="clear" w:color="auto" w:fill="auto"/>
          </w:tcPr>
          <w:p w14:paraId="46F1C4CE" w14:textId="2D4E0B9B" w:rsidR="00B74703" w:rsidRPr="00AD0FB8" w:rsidRDefault="00B74703" w:rsidP="00B7470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val="sk-SK" w:eastAsia="zh-CN"/>
              </w:rPr>
            </w:pPr>
            <w:r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val="sk-SK" w:eastAsia="zh-CN"/>
              </w:rPr>
              <w:t>1 188 EUR</w:t>
            </w:r>
          </w:p>
        </w:tc>
      </w:tr>
      <w:tr w:rsidR="00B74703" w:rsidRPr="00AD0FB8" w14:paraId="63DBAA28" w14:textId="77777777" w:rsidTr="00B74703">
        <w:trPr>
          <w:trHeight w:val="270"/>
        </w:trPr>
        <w:tc>
          <w:tcPr>
            <w:tcW w:w="1639" w:type="pct"/>
            <w:vAlign w:val="center"/>
          </w:tcPr>
          <w:p w14:paraId="754832E9" w14:textId="77777777" w:rsidR="00B74703" w:rsidRPr="00AD0FB8" w:rsidRDefault="00B74703" w:rsidP="00B7470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val="sk-SK"/>
              </w:rPr>
            </w:pPr>
            <w:r w:rsidRPr="00AD0FB8">
              <w:rPr>
                <w:rFonts w:ascii="Times New Roman" w:hAnsi="Times New Roman"/>
                <w:snapToGrid w:val="0"/>
                <w:lang w:val="sk-SK"/>
              </w:rPr>
              <w:t>8 000 km alebo viac:</w:t>
            </w:r>
          </w:p>
        </w:tc>
        <w:tc>
          <w:tcPr>
            <w:tcW w:w="1642" w:type="pct"/>
            <w:shd w:val="clear" w:color="auto" w:fill="auto"/>
          </w:tcPr>
          <w:p w14:paraId="5484A8BD" w14:textId="3E9F4024" w:rsidR="00B74703" w:rsidRPr="00AD0FB8" w:rsidRDefault="00B74703" w:rsidP="00B7470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val="sk-SK" w:eastAsia="zh-CN"/>
              </w:rPr>
            </w:pPr>
            <w:r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val="sk-SK" w:eastAsia="zh-CN"/>
              </w:rPr>
              <w:t>1 735 EUR</w:t>
            </w:r>
          </w:p>
        </w:tc>
        <w:tc>
          <w:tcPr>
            <w:tcW w:w="1719" w:type="pct"/>
            <w:shd w:val="clear" w:color="auto" w:fill="auto"/>
          </w:tcPr>
          <w:p w14:paraId="6224F9F2" w14:textId="4760DD2C" w:rsidR="00B74703" w:rsidRPr="00AD0FB8" w:rsidRDefault="00B74703" w:rsidP="00B74703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SimSun" w:hAnsi="Times New Roman" w:cs="Times New Roman"/>
                <w:snapToGrid w:val="0"/>
                <w:kern w:val="3"/>
                <w:szCs w:val="24"/>
                <w:lang w:val="sk-SK" w:eastAsia="zh-CN"/>
              </w:rPr>
            </w:pPr>
            <w:r>
              <w:rPr>
                <w:rFonts w:ascii="Times New Roman" w:hAnsi="Times New Roman"/>
                <w:snapToGrid w:val="0"/>
                <w:lang w:val="sk-SK"/>
              </w:rPr>
              <w:t>1 735</w:t>
            </w:r>
            <w:r w:rsidRPr="00AD0FB8">
              <w:rPr>
                <w:rFonts w:ascii="Times New Roman" w:hAnsi="Times New Roman"/>
                <w:snapToGrid w:val="0"/>
                <w:lang w:val="sk-SK"/>
              </w:rPr>
              <w:t xml:space="preserve"> EUR </w:t>
            </w:r>
          </w:p>
        </w:tc>
      </w:tr>
    </w:tbl>
    <w:p w14:paraId="7D1B9E0A" w14:textId="77777777" w:rsidR="00AD0FB8" w:rsidRPr="00AD0FB8" w:rsidRDefault="00AD0FB8" w:rsidP="00AD0FB8">
      <w:pPr>
        <w:spacing w:after="0"/>
        <w:rPr>
          <w:rFonts w:ascii="Times New Roman" w:hAnsi="Times New Roman" w:cs="Times New Roman"/>
          <w:b/>
          <w:szCs w:val="24"/>
          <w:lang w:val="sk-SK"/>
        </w:rPr>
      </w:pPr>
    </w:p>
    <w:p w14:paraId="30B0CEB7" w14:textId="7D2D8BA8" w:rsidR="00AD0FB8" w:rsidRDefault="00AD0FB8" w:rsidP="00AD0FB8">
      <w:pPr>
        <w:spacing w:after="0"/>
        <w:rPr>
          <w:rFonts w:ascii="Times New Roman" w:hAnsi="Times New Roman"/>
          <w:lang w:val="sk-SK"/>
        </w:rPr>
      </w:pPr>
      <w:r w:rsidRPr="00AD0FB8">
        <w:rPr>
          <w:rFonts w:ascii="Times New Roman" w:hAnsi="Times New Roman"/>
          <w:b/>
          <w:lang w:val="sk-SK"/>
        </w:rPr>
        <w:t>Poznámka:</w:t>
      </w:r>
      <w:r w:rsidRPr="00AD0FB8">
        <w:rPr>
          <w:rFonts w:ascii="Times New Roman" w:hAnsi="Times New Roman"/>
          <w:lang w:val="sk-SK"/>
        </w:rPr>
        <w:t xml:space="preserve"> cestovná vzdialenosť je vzdialenosť medzi miestom pôvodu a miestom konania aktivity, pričom „suma“ zahŕňa príspevok na cestu na miesto konania aktivity a späť.</w:t>
      </w:r>
    </w:p>
    <w:p w14:paraId="7E721664" w14:textId="77777777" w:rsidR="00E24ABE" w:rsidRDefault="00E24ABE" w:rsidP="00E24ABE">
      <w:pPr>
        <w:spacing w:after="0"/>
        <w:jc w:val="both"/>
        <w:rPr>
          <w:rFonts w:ascii="Times New Roman" w:hAnsi="Times New Roman"/>
          <w:b/>
          <w:lang w:val="sk-SK"/>
        </w:rPr>
      </w:pPr>
    </w:p>
    <w:p w14:paraId="2CCE7C05" w14:textId="3C5B6728" w:rsidR="00AD0FB8" w:rsidRPr="00AD0FB8" w:rsidRDefault="00AD0FB8" w:rsidP="00AD0FB8">
      <w:pPr>
        <w:spacing w:after="0"/>
        <w:rPr>
          <w:rFonts w:ascii="Times New Roman" w:hAnsi="Times New Roman" w:cs="Times New Roman"/>
          <w:b/>
          <w:szCs w:val="24"/>
          <w:lang w:val="sk-SK"/>
        </w:rPr>
      </w:pPr>
      <w:r w:rsidRPr="00AD0FB8">
        <w:rPr>
          <w:rFonts w:ascii="Times New Roman" w:hAnsi="Times New Roman"/>
          <w:b/>
          <w:lang w:val="sk-SK"/>
        </w:rPr>
        <w:t>2. Individuálna podpora fyzickej mobility</w:t>
      </w:r>
    </w:p>
    <w:p w14:paraId="0523C20C" w14:textId="77777777" w:rsidR="003925B4" w:rsidRDefault="003925B4" w:rsidP="003925B4">
      <w:pPr>
        <w:spacing w:after="0"/>
        <w:rPr>
          <w:rFonts w:ascii="Times New Roman" w:hAnsi="Times New Roman"/>
          <w:b/>
          <w:lang w:val="sk-SK"/>
        </w:rPr>
      </w:pPr>
    </w:p>
    <w:p w14:paraId="2AAB92E1" w14:textId="6D5F8950" w:rsidR="003925B4" w:rsidRDefault="003925B4" w:rsidP="003925B4">
      <w:pPr>
        <w:spacing w:after="0"/>
        <w:rPr>
          <w:rFonts w:ascii="Times New Roman" w:hAnsi="Times New Roman"/>
          <w:b/>
          <w:lang w:val="sk-SK"/>
        </w:rPr>
      </w:pPr>
      <w:r w:rsidRPr="001A61D0">
        <w:rPr>
          <w:rFonts w:ascii="Times New Roman" w:hAnsi="Times New Roman"/>
          <w:b/>
          <w:lang w:val="sk-SK"/>
        </w:rPr>
        <w:t>Mobilita zamestnancov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32"/>
        <w:gridCol w:w="1657"/>
        <w:gridCol w:w="1708"/>
      </w:tblGrid>
      <w:tr w:rsidR="00BB6A60" w:rsidRPr="00B05AD7" w14:paraId="4C62B871" w14:textId="77777777" w:rsidTr="00B03863">
        <w:trPr>
          <w:cantSplit/>
          <w:trHeight w:val="540"/>
        </w:trPr>
        <w:tc>
          <w:tcPr>
            <w:tcW w:w="3214" w:type="pct"/>
            <w:vMerge w:val="restart"/>
            <w:shd w:val="clear" w:color="auto" w:fill="BFBFBF"/>
            <w:vAlign w:val="center"/>
          </w:tcPr>
          <w:p w14:paraId="0207B51F" w14:textId="4A9B783C" w:rsidR="00BB6A60" w:rsidRPr="00B03863" w:rsidRDefault="00BB6A60" w:rsidP="009D0E12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sk-SK"/>
              </w:rPr>
            </w:pPr>
            <w:r w:rsidRPr="00BB6A60">
              <w:rPr>
                <w:rFonts w:ascii="Times New Roman" w:hAnsi="Times New Roman"/>
                <w:b/>
                <w:lang w:val="sk-SK"/>
              </w:rPr>
              <w:t>Prijímajúca krajina</w:t>
            </w:r>
          </w:p>
        </w:tc>
        <w:tc>
          <w:tcPr>
            <w:tcW w:w="944" w:type="pct"/>
            <w:shd w:val="solid" w:color="C0C0C0" w:fill="auto"/>
            <w:vAlign w:val="center"/>
          </w:tcPr>
          <w:p w14:paraId="7CBC1DC8" w14:textId="00FB101B" w:rsidR="00BB6A60" w:rsidRPr="00B03863" w:rsidRDefault="00BB6A60" w:rsidP="009D0E12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sk-SK"/>
              </w:rPr>
            </w:pPr>
            <w:r w:rsidRPr="00B03863">
              <w:rPr>
                <w:rFonts w:ascii="Times New Roman" w:hAnsi="Times New Roman"/>
                <w:b/>
                <w:lang w:val="sk-SK"/>
              </w:rPr>
              <w:t>Zamestnanci z členských štátov EÚ a tretích krajín pridružených k programu</w:t>
            </w:r>
          </w:p>
        </w:tc>
        <w:tc>
          <w:tcPr>
            <w:tcW w:w="843" w:type="pct"/>
            <w:shd w:val="solid" w:color="C0C0C0" w:fill="auto"/>
            <w:vAlign w:val="center"/>
          </w:tcPr>
          <w:p w14:paraId="57CF725A" w14:textId="2160F2A0" w:rsidR="00BB6A60" w:rsidRPr="00B03863" w:rsidRDefault="00BB6A60" w:rsidP="009D0E12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b/>
                <w:lang w:val="sk-SK"/>
              </w:rPr>
            </w:pPr>
            <w:r w:rsidRPr="00B03863">
              <w:rPr>
                <w:rFonts w:ascii="Times New Roman" w:hAnsi="Times New Roman"/>
                <w:b/>
                <w:lang w:val="sk-SK"/>
              </w:rPr>
              <w:t>Zamestnanci z tretích krajín nepridružených k programu</w:t>
            </w:r>
          </w:p>
        </w:tc>
      </w:tr>
      <w:tr w:rsidR="00BB6A60" w:rsidRPr="00B05AD7" w14:paraId="1A2FD8B1" w14:textId="77777777" w:rsidTr="00B03863">
        <w:trPr>
          <w:cantSplit/>
          <w:trHeight w:val="387"/>
        </w:trPr>
        <w:tc>
          <w:tcPr>
            <w:tcW w:w="3214" w:type="pct"/>
            <w:vMerge/>
            <w:shd w:val="clear" w:color="auto" w:fill="BFBFBF"/>
          </w:tcPr>
          <w:p w14:paraId="024AA76A" w14:textId="77777777" w:rsidR="00BB6A60" w:rsidRPr="00BB6A60" w:rsidRDefault="00BB6A60" w:rsidP="009D0E12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sk-SK"/>
              </w:rPr>
            </w:pPr>
          </w:p>
        </w:tc>
        <w:tc>
          <w:tcPr>
            <w:tcW w:w="944" w:type="pct"/>
            <w:shd w:val="solid" w:color="C0C0C0" w:fill="auto"/>
            <w:vAlign w:val="center"/>
          </w:tcPr>
          <w:p w14:paraId="05053141" w14:textId="3CA0E406" w:rsidR="00BB6A60" w:rsidRPr="00B03863" w:rsidRDefault="00BB6A60" w:rsidP="009D0E12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sk-SK"/>
              </w:rPr>
            </w:pPr>
            <w:r w:rsidRPr="00B03863">
              <w:rPr>
                <w:rFonts w:ascii="Times New Roman" w:hAnsi="Times New Roman"/>
                <w:bCs/>
                <w:lang w:val="sk-SK"/>
              </w:rPr>
              <w:t>Sadzba/deň</w:t>
            </w:r>
          </w:p>
        </w:tc>
        <w:tc>
          <w:tcPr>
            <w:tcW w:w="843" w:type="pct"/>
            <w:shd w:val="solid" w:color="C0C0C0" w:fill="auto"/>
            <w:vAlign w:val="center"/>
          </w:tcPr>
          <w:p w14:paraId="333F3061" w14:textId="77777777" w:rsidR="00BB6A60" w:rsidRPr="00B03863" w:rsidRDefault="00BB6A60" w:rsidP="009D0E12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sk-SK"/>
              </w:rPr>
            </w:pPr>
            <w:r w:rsidRPr="00B03863">
              <w:rPr>
                <w:rFonts w:ascii="Times New Roman" w:hAnsi="Times New Roman"/>
                <w:bCs/>
                <w:lang w:val="sk-SK"/>
              </w:rPr>
              <w:t>Sadzba/deň</w:t>
            </w:r>
          </w:p>
        </w:tc>
      </w:tr>
      <w:tr w:rsidR="00BB6A60" w:rsidRPr="00B05AD7" w14:paraId="03119D7C" w14:textId="77777777" w:rsidTr="00B03863">
        <w:trPr>
          <w:cantSplit/>
          <w:trHeight w:val="265"/>
        </w:trPr>
        <w:tc>
          <w:tcPr>
            <w:tcW w:w="3214" w:type="pct"/>
            <w:vMerge/>
            <w:shd w:val="clear" w:color="auto" w:fill="BFBFBF"/>
          </w:tcPr>
          <w:p w14:paraId="47454C7C" w14:textId="77777777" w:rsidR="00BB6A60" w:rsidRPr="00BB6A60" w:rsidRDefault="00BB6A60" w:rsidP="009D0E12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sk-SK"/>
              </w:rPr>
            </w:pPr>
          </w:p>
        </w:tc>
        <w:tc>
          <w:tcPr>
            <w:tcW w:w="944" w:type="pct"/>
            <w:shd w:val="solid" w:color="C0C0C0" w:fill="auto"/>
            <w:vAlign w:val="center"/>
          </w:tcPr>
          <w:p w14:paraId="48940CAF" w14:textId="240A6947" w:rsidR="00BB6A60" w:rsidRPr="00BB6A60" w:rsidRDefault="00BB6A60" w:rsidP="009D0E12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sk-SK"/>
              </w:rPr>
            </w:pPr>
            <w:r>
              <w:rPr>
                <w:rFonts w:ascii="Times New Roman" w:hAnsi="Times New Roman"/>
                <w:bCs/>
                <w:lang w:val="sk-SK"/>
              </w:rPr>
              <w:t>A 1.1</w:t>
            </w:r>
          </w:p>
        </w:tc>
        <w:tc>
          <w:tcPr>
            <w:tcW w:w="843" w:type="pct"/>
            <w:shd w:val="solid" w:color="C0C0C0" w:fill="auto"/>
            <w:vAlign w:val="center"/>
          </w:tcPr>
          <w:p w14:paraId="72B77508" w14:textId="5E2801A4" w:rsidR="00BB6A60" w:rsidRPr="00BB6A60" w:rsidRDefault="00BB6A60" w:rsidP="009D0E12">
            <w:pPr>
              <w:autoSpaceDE w:val="0"/>
              <w:adjustRightInd w:val="0"/>
              <w:spacing w:after="0"/>
              <w:jc w:val="center"/>
              <w:rPr>
                <w:rFonts w:ascii="Times New Roman" w:hAnsi="Times New Roman"/>
                <w:bCs/>
                <w:lang w:val="sk-SK"/>
              </w:rPr>
            </w:pPr>
            <w:r>
              <w:rPr>
                <w:rFonts w:ascii="Times New Roman" w:hAnsi="Times New Roman"/>
                <w:bCs/>
                <w:lang w:val="sk-SK"/>
              </w:rPr>
              <w:t>A 1.2</w:t>
            </w:r>
          </w:p>
        </w:tc>
      </w:tr>
      <w:tr w:rsidR="004065B8" w:rsidRPr="00B05AD7" w14:paraId="6C82A5BD" w14:textId="77777777" w:rsidTr="00B03863">
        <w:trPr>
          <w:trHeight w:val="942"/>
        </w:trPr>
        <w:tc>
          <w:tcPr>
            <w:tcW w:w="3214" w:type="pct"/>
            <w:shd w:val="clear" w:color="auto" w:fill="D5DCE4"/>
            <w:vAlign w:val="center"/>
          </w:tcPr>
          <w:p w14:paraId="3898B244" w14:textId="3CE88C2F" w:rsidR="004065B8" w:rsidRPr="00BB6A60" w:rsidRDefault="004065B8" w:rsidP="009D0E12">
            <w:pPr>
              <w:spacing w:before="120"/>
              <w:jc w:val="center"/>
              <w:rPr>
                <w:rFonts w:ascii="Times New Roman" w:hAnsi="Times New Roman"/>
                <w:b/>
                <w:lang w:val="sk-SK"/>
              </w:rPr>
            </w:pPr>
            <w:r w:rsidRPr="00BB6A60">
              <w:rPr>
                <w:rFonts w:ascii="Times New Roman" w:hAnsi="Times New Roman"/>
                <w:b/>
                <w:lang w:val="sk-SK"/>
              </w:rPr>
              <w:t>Belgicko, Dánsko, Fínsko, Francúzsko, Holandsko, Írsko, Island, Lichtenštajnsko, Luxembursko, Nemecko, Nórsko, Rakúsko, Švédsko, Taliansko</w:t>
            </w:r>
          </w:p>
        </w:tc>
        <w:tc>
          <w:tcPr>
            <w:tcW w:w="944" w:type="pct"/>
            <w:vAlign w:val="center"/>
          </w:tcPr>
          <w:p w14:paraId="54FBA020" w14:textId="77777777" w:rsidR="004065B8" w:rsidRPr="00BB6A60" w:rsidRDefault="004065B8" w:rsidP="009D0E12">
            <w:pPr>
              <w:spacing w:after="0"/>
              <w:jc w:val="center"/>
              <w:rPr>
                <w:rFonts w:ascii="Times New Roman" w:hAnsi="Times New Roman"/>
                <w:bCs/>
                <w:lang w:val="sk-SK"/>
              </w:rPr>
            </w:pPr>
            <w:r w:rsidRPr="00BB6A60">
              <w:rPr>
                <w:rFonts w:ascii="Times New Roman" w:hAnsi="Times New Roman"/>
                <w:bCs/>
                <w:lang w:val="sk-SK"/>
              </w:rPr>
              <w:t>190</w:t>
            </w:r>
            <w:r w:rsidRPr="00BB6A60">
              <w:rPr>
                <w:rFonts w:ascii="Times New Roman" w:hAnsi="Times New Roman"/>
                <w:bCs/>
                <w:snapToGrid w:val="0"/>
                <w:lang w:val="sk-SK"/>
              </w:rPr>
              <w:t xml:space="preserve"> €</w:t>
            </w:r>
          </w:p>
        </w:tc>
        <w:tc>
          <w:tcPr>
            <w:tcW w:w="843" w:type="pct"/>
            <w:vAlign w:val="center"/>
          </w:tcPr>
          <w:p w14:paraId="543ABD72" w14:textId="6489EDB3" w:rsidR="004065B8" w:rsidRPr="00BB6A60" w:rsidRDefault="008C67F0" w:rsidP="009D0E12">
            <w:pPr>
              <w:spacing w:after="0"/>
              <w:jc w:val="center"/>
              <w:rPr>
                <w:rFonts w:ascii="Times New Roman" w:hAnsi="Times New Roman"/>
                <w:bCs/>
                <w:lang w:val="sk-SK"/>
              </w:rPr>
            </w:pPr>
            <w:r w:rsidRPr="00BB6A60">
              <w:rPr>
                <w:rFonts w:ascii="Times New Roman" w:hAnsi="Times New Roman"/>
                <w:bCs/>
                <w:lang w:val="sk-SK"/>
              </w:rPr>
              <w:t>190 €</w:t>
            </w:r>
          </w:p>
        </w:tc>
      </w:tr>
      <w:tr w:rsidR="004065B8" w:rsidRPr="00B05AD7" w14:paraId="087BE4D7" w14:textId="77777777" w:rsidTr="00B03863">
        <w:trPr>
          <w:trHeight w:val="836"/>
        </w:trPr>
        <w:tc>
          <w:tcPr>
            <w:tcW w:w="3214" w:type="pct"/>
            <w:shd w:val="clear" w:color="auto" w:fill="D5DCE4"/>
            <w:vAlign w:val="center"/>
          </w:tcPr>
          <w:p w14:paraId="6B1D3001" w14:textId="019A08A9" w:rsidR="004065B8" w:rsidRPr="00BB6A60" w:rsidRDefault="004065B8" w:rsidP="009D0E12">
            <w:pPr>
              <w:spacing w:before="120"/>
              <w:jc w:val="center"/>
              <w:rPr>
                <w:rFonts w:ascii="Times New Roman" w:hAnsi="Times New Roman"/>
                <w:b/>
                <w:lang w:val="sk-SK"/>
              </w:rPr>
            </w:pPr>
            <w:r w:rsidRPr="00BB6A60">
              <w:rPr>
                <w:rFonts w:ascii="Times New Roman" w:hAnsi="Times New Roman"/>
                <w:b/>
                <w:lang w:val="sk-SK"/>
              </w:rPr>
              <w:t>Cyprus, Česká republika, Estónsko, Grécko, Lotyšsko, Malta, Portugalsko, Slovensko, Slovinsko, Španielsko</w:t>
            </w:r>
          </w:p>
        </w:tc>
        <w:tc>
          <w:tcPr>
            <w:tcW w:w="944" w:type="pct"/>
            <w:vAlign w:val="center"/>
          </w:tcPr>
          <w:p w14:paraId="59C78961" w14:textId="77777777" w:rsidR="004065B8" w:rsidRPr="00BB6A60" w:rsidRDefault="004065B8" w:rsidP="009D0E12">
            <w:pPr>
              <w:spacing w:after="0"/>
              <w:jc w:val="center"/>
              <w:rPr>
                <w:rFonts w:ascii="Times New Roman" w:hAnsi="Times New Roman"/>
                <w:bCs/>
                <w:lang w:val="sk-SK"/>
              </w:rPr>
            </w:pPr>
            <w:r w:rsidRPr="00BB6A60">
              <w:rPr>
                <w:rFonts w:ascii="Times New Roman" w:hAnsi="Times New Roman"/>
                <w:bCs/>
                <w:lang w:val="sk-SK"/>
              </w:rPr>
              <w:t>170</w:t>
            </w:r>
            <w:r w:rsidRPr="00BB6A60">
              <w:rPr>
                <w:rFonts w:ascii="Times New Roman" w:hAnsi="Times New Roman"/>
                <w:bCs/>
                <w:snapToGrid w:val="0"/>
                <w:lang w:val="sk-SK"/>
              </w:rPr>
              <w:t xml:space="preserve"> €</w:t>
            </w:r>
          </w:p>
        </w:tc>
        <w:tc>
          <w:tcPr>
            <w:tcW w:w="843" w:type="pct"/>
            <w:vAlign w:val="center"/>
          </w:tcPr>
          <w:p w14:paraId="56EE212F" w14:textId="6356010A" w:rsidR="004065B8" w:rsidRPr="00BB6A60" w:rsidRDefault="008C67F0" w:rsidP="009D0E12">
            <w:pPr>
              <w:spacing w:after="0"/>
              <w:jc w:val="center"/>
              <w:rPr>
                <w:rFonts w:ascii="Times New Roman" w:hAnsi="Times New Roman"/>
                <w:bCs/>
                <w:lang w:val="sk-SK"/>
              </w:rPr>
            </w:pPr>
            <w:r w:rsidRPr="00BB6A60">
              <w:rPr>
                <w:rFonts w:ascii="Times New Roman" w:hAnsi="Times New Roman"/>
                <w:bCs/>
                <w:lang w:val="sk-SK"/>
              </w:rPr>
              <w:t>170 €</w:t>
            </w:r>
          </w:p>
        </w:tc>
      </w:tr>
      <w:tr w:rsidR="004065B8" w:rsidRPr="00B05AD7" w14:paraId="0A1DB422" w14:textId="77777777" w:rsidTr="00B03863">
        <w:trPr>
          <w:trHeight w:val="836"/>
        </w:trPr>
        <w:tc>
          <w:tcPr>
            <w:tcW w:w="3214" w:type="pct"/>
            <w:shd w:val="clear" w:color="auto" w:fill="D5DCE4"/>
            <w:vAlign w:val="center"/>
          </w:tcPr>
          <w:p w14:paraId="1406BAA4" w14:textId="1055E97B" w:rsidR="004065B8" w:rsidRPr="00BB6A60" w:rsidRDefault="004065B8" w:rsidP="009D0E12">
            <w:pPr>
              <w:spacing w:before="12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BB6A60">
              <w:rPr>
                <w:rFonts w:ascii="Times New Roman" w:hAnsi="Times New Roman"/>
                <w:b/>
                <w:bCs/>
                <w:lang w:val="sk-SK"/>
              </w:rPr>
              <w:t>Bulharsko, Chorvátsko, Litva, Maďarsko, Poľsko, Rumunsko, Severné Macedónsko, Srbsko, Turecko</w:t>
            </w:r>
          </w:p>
        </w:tc>
        <w:tc>
          <w:tcPr>
            <w:tcW w:w="944" w:type="pct"/>
            <w:vAlign w:val="center"/>
          </w:tcPr>
          <w:p w14:paraId="6132D156" w14:textId="77777777" w:rsidR="004065B8" w:rsidRPr="00BB6A60" w:rsidRDefault="004065B8" w:rsidP="009D0E12">
            <w:pPr>
              <w:spacing w:after="0"/>
              <w:jc w:val="center"/>
              <w:rPr>
                <w:rFonts w:ascii="Times New Roman" w:hAnsi="Times New Roman"/>
                <w:lang w:val="sk-SK"/>
              </w:rPr>
            </w:pPr>
            <w:r w:rsidRPr="00BB6A60">
              <w:rPr>
                <w:rFonts w:ascii="Times New Roman" w:hAnsi="Times New Roman"/>
                <w:lang w:val="sk-SK"/>
              </w:rPr>
              <w:t>148</w:t>
            </w:r>
            <w:r w:rsidRPr="00BB6A60">
              <w:rPr>
                <w:rFonts w:ascii="Times New Roman" w:hAnsi="Times New Roman"/>
                <w:snapToGrid w:val="0"/>
                <w:lang w:val="sk-SK"/>
              </w:rPr>
              <w:t xml:space="preserve"> €</w:t>
            </w:r>
          </w:p>
        </w:tc>
        <w:tc>
          <w:tcPr>
            <w:tcW w:w="843" w:type="pct"/>
            <w:vAlign w:val="center"/>
          </w:tcPr>
          <w:p w14:paraId="7595AD13" w14:textId="5ACBF205" w:rsidR="004065B8" w:rsidRPr="00BB6A60" w:rsidRDefault="008C67F0" w:rsidP="009D0E12">
            <w:pPr>
              <w:spacing w:after="0"/>
              <w:jc w:val="center"/>
              <w:rPr>
                <w:rFonts w:ascii="Times New Roman" w:hAnsi="Times New Roman"/>
                <w:lang w:val="sk-SK"/>
              </w:rPr>
            </w:pPr>
            <w:r w:rsidRPr="00BB6A60">
              <w:rPr>
                <w:rFonts w:ascii="Times New Roman" w:hAnsi="Times New Roman"/>
                <w:lang w:val="sk-SK"/>
              </w:rPr>
              <w:t>148 €</w:t>
            </w:r>
          </w:p>
        </w:tc>
      </w:tr>
      <w:tr w:rsidR="008C67F0" w:rsidRPr="00B05AD7" w14:paraId="791E417A" w14:textId="77777777" w:rsidTr="00B03863">
        <w:trPr>
          <w:trHeight w:val="1057"/>
        </w:trPr>
        <w:tc>
          <w:tcPr>
            <w:tcW w:w="3214" w:type="pct"/>
            <w:shd w:val="clear" w:color="auto" w:fill="D5DCE4"/>
            <w:vAlign w:val="center"/>
          </w:tcPr>
          <w:p w14:paraId="3EEAEF9C" w14:textId="0E460C5F" w:rsidR="008C67F0" w:rsidRPr="00BB6A60" w:rsidRDefault="008C67F0" w:rsidP="008C67F0">
            <w:pPr>
              <w:spacing w:before="12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BB6A60">
              <w:rPr>
                <w:rFonts w:ascii="Times New Roman" w:hAnsi="Times New Roman"/>
                <w:b/>
                <w:bCs/>
                <w:lang w:val="sk-SK"/>
              </w:rPr>
              <w:t>Tretie krajiny nepridružené k programu z regiónov 13 a 14</w:t>
            </w:r>
          </w:p>
        </w:tc>
        <w:tc>
          <w:tcPr>
            <w:tcW w:w="944" w:type="pct"/>
            <w:vAlign w:val="center"/>
          </w:tcPr>
          <w:p w14:paraId="55F70C50" w14:textId="714A0CA5" w:rsidR="008C67F0" w:rsidRPr="00BB6A60" w:rsidRDefault="00586FCF" w:rsidP="009D0E12">
            <w:pPr>
              <w:spacing w:after="0"/>
              <w:jc w:val="center"/>
              <w:rPr>
                <w:rFonts w:ascii="Times New Roman" w:hAnsi="Times New Roman"/>
                <w:lang w:val="sk-SK"/>
              </w:rPr>
            </w:pPr>
            <w:r w:rsidRPr="00BB6A60">
              <w:rPr>
                <w:rFonts w:ascii="Times New Roman" w:hAnsi="Times New Roman"/>
                <w:lang w:val="sk-SK"/>
              </w:rPr>
              <w:t>170</w:t>
            </w:r>
          </w:p>
        </w:tc>
        <w:tc>
          <w:tcPr>
            <w:tcW w:w="843" w:type="pct"/>
            <w:vAlign w:val="center"/>
          </w:tcPr>
          <w:p w14:paraId="01A02E56" w14:textId="26225A84" w:rsidR="008C67F0" w:rsidRPr="00BB6A60" w:rsidRDefault="008C67F0" w:rsidP="009D0E12">
            <w:pPr>
              <w:spacing w:after="0"/>
              <w:jc w:val="center"/>
              <w:rPr>
                <w:rFonts w:ascii="Times New Roman" w:hAnsi="Times New Roman"/>
                <w:lang w:val="sk-SK"/>
              </w:rPr>
            </w:pPr>
            <w:r w:rsidRPr="00BB6A60">
              <w:rPr>
                <w:rFonts w:ascii="Times New Roman" w:hAnsi="Times New Roman"/>
                <w:lang w:val="sk-SK"/>
              </w:rPr>
              <w:t>neoprávnené</w:t>
            </w:r>
          </w:p>
        </w:tc>
      </w:tr>
      <w:tr w:rsidR="008C67F0" w:rsidRPr="00B05AD7" w14:paraId="65C711AD" w14:textId="77777777" w:rsidTr="00B03863">
        <w:trPr>
          <w:trHeight w:val="1057"/>
        </w:trPr>
        <w:tc>
          <w:tcPr>
            <w:tcW w:w="3214" w:type="pct"/>
            <w:shd w:val="clear" w:color="auto" w:fill="D5DCE4"/>
            <w:vAlign w:val="center"/>
          </w:tcPr>
          <w:p w14:paraId="0151E2D5" w14:textId="66480617" w:rsidR="008C67F0" w:rsidRPr="00BB6A60" w:rsidRDefault="008C67F0" w:rsidP="00B03863">
            <w:pPr>
              <w:spacing w:before="120"/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BB6A60">
              <w:rPr>
                <w:rFonts w:ascii="Times New Roman" w:hAnsi="Times New Roman"/>
                <w:b/>
                <w:bCs/>
                <w:lang w:val="sk-SK"/>
              </w:rPr>
              <w:t>Tretie krajiny nepridružené k programu z regiónov 1–3 a 5–12</w:t>
            </w:r>
          </w:p>
        </w:tc>
        <w:tc>
          <w:tcPr>
            <w:tcW w:w="944" w:type="pct"/>
            <w:vAlign w:val="center"/>
          </w:tcPr>
          <w:p w14:paraId="3D77BB54" w14:textId="2E225033" w:rsidR="008C67F0" w:rsidRPr="00BB6A60" w:rsidRDefault="008C67F0" w:rsidP="009D0E12">
            <w:pPr>
              <w:spacing w:after="0"/>
              <w:jc w:val="center"/>
              <w:rPr>
                <w:rFonts w:ascii="Times New Roman" w:hAnsi="Times New Roman"/>
                <w:lang w:val="sk-SK"/>
              </w:rPr>
            </w:pPr>
            <w:r w:rsidRPr="00BB6A60">
              <w:rPr>
                <w:rFonts w:ascii="Times New Roman" w:hAnsi="Times New Roman"/>
                <w:lang w:val="sk-SK"/>
              </w:rPr>
              <w:t>190</w:t>
            </w:r>
          </w:p>
        </w:tc>
        <w:tc>
          <w:tcPr>
            <w:tcW w:w="843" w:type="pct"/>
            <w:vAlign w:val="center"/>
          </w:tcPr>
          <w:p w14:paraId="355A56F7" w14:textId="77D89DFF" w:rsidR="008C67F0" w:rsidRPr="00BB6A60" w:rsidRDefault="008C67F0" w:rsidP="009D0E12">
            <w:pPr>
              <w:spacing w:after="0"/>
              <w:jc w:val="center"/>
              <w:rPr>
                <w:rFonts w:ascii="Times New Roman" w:hAnsi="Times New Roman"/>
                <w:lang w:val="sk-SK"/>
              </w:rPr>
            </w:pPr>
            <w:r w:rsidRPr="00BB6A60">
              <w:rPr>
                <w:rFonts w:ascii="Times New Roman" w:hAnsi="Times New Roman"/>
                <w:lang w:val="sk-SK"/>
              </w:rPr>
              <w:t>neoprávnené</w:t>
            </w:r>
          </w:p>
        </w:tc>
      </w:tr>
    </w:tbl>
    <w:p w14:paraId="132E81CE" w14:textId="77777777" w:rsidR="003925B4" w:rsidRPr="00AD0FB8" w:rsidRDefault="003925B4" w:rsidP="003925B4">
      <w:pPr>
        <w:spacing w:after="0"/>
        <w:rPr>
          <w:rFonts w:ascii="Times New Roman" w:hAnsi="Times New Roman" w:cs="Times New Roman"/>
          <w:u w:val="single"/>
          <w:lang w:val="sk-SK"/>
        </w:rPr>
      </w:pPr>
    </w:p>
    <w:p w14:paraId="7B46A464" w14:textId="77777777" w:rsidR="003925B4" w:rsidRPr="00AD0FB8" w:rsidRDefault="003925B4" w:rsidP="003925B4">
      <w:pPr>
        <w:spacing w:after="0"/>
        <w:rPr>
          <w:rFonts w:ascii="Times New Roman" w:hAnsi="Times New Roman" w:cs="Times New Roman"/>
          <w:u w:val="single"/>
          <w:lang w:val="sk-SK"/>
        </w:rPr>
      </w:pPr>
    </w:p>
    <w:p w14:paraId="601D77E1" w14:textId="77777777" w:rsidR="003925B4" w:rsidRPr="00AD0FB8" w:rsidRDefault="003925B4" w:rsidP="003925B4">
      <w:pPr>
        <w:spacing w:after="0"/>
        <w:jc w:val="both"/>
        <w:rPr>
          <w:rFonts w:ascii="Times New Roman" w:hAnsi="Times New Roman" w:cs="Times New Roman"/>
          <w:lang w:val="sk-SK"/>
        </w:rPr>
      </w:pPr>
      <w:r w:rsidRPr="00AD0FB8">
        <w:rPr>
          <w:rFonts w:ascii="Times New Roman" w:hAnsi="Times New Roman"/>
          <w:lang w:val="sk-SK"/>
        </w:rPr>
        <w:t xml:space="preserve">Tieto sadzby stanovené národnou agentúrou sú </w:t>
      </w:r>
      <w:r w:rsidRPr="00AD0FB8">
        <w:rPr>
          <w:rFonts w:ascii="Times New Roman" w:hAnsi="Times New Roman"/>
          <w:b/>
          <w:lang w:val="sk-SK"/>
        </w:rPr>
        <w:t>pevnými sadzbami</w:t>
      </w:r>
      <w:r w:rsidRPr="00AD0FB8">
        <w:rPr>
          <w:rFonts w:ascii="Times New Roman" w:hAnsi="Times New Roman"/>
          <w:lang w:val="sk-SK"/>
        </w:rPr>
        <w:t xml:space="preserve"> pre celý projekt mobility.</w:t>
      </w:r>
    </w:p>
    <w:p w14:paraId="658CCDC6" w14:textId="77777777" w:rsidR="003925B4" w:rsidRDefault="003925B4" w:rsidP="003925B4">
      <w:pPr>
        <w:spacing w:after="0"/>
        <w:jc w:val="both"/>
        <w:rPr>
          <w:rFonts w:ascii="Times New Roman" w:hAnsi="Times New Roman"/>
          <w:b/>
          <w:lang w:val="sk-SK"/>
        </w:rPr>
      </w:pPr>
    </w:p>
    <w:p w14:paraId="65BF195E" w14:textId="015BB3F6" w:rsidR="003925B4" w:rsidRPr="00BB6A60" w:rsidRDefault="002B5B2C" w:rsidP="003925B4">
      <w:pPr>
        <w:spacing w:after="0"/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BB6A60">
        <w:rPr>
          <w:rFonts w:ascii="Times New Roman" w:hAnsi="Times New Roman"/>
          <w:b/>
          <w:lang w:val="sk-SK"/>
        </w:rPr>
        <w:t>S</w:t>
      </w:r>
      <w:r w:rsidR="003925B4" w:rsidRPr="00BB6A60">
        <w:rPr>
          <w:rFonts w:ascii="Times New Roman" w:hAnsi="Times New Roman"/>
          <w:b/>
          <w:lang w:val="sk-SK"/>
        </w:rPr>
        <w:t>uma na deň sa vypočíta takto:</w:t>
      </w:r>
    </w:p>
    <w:p w14:paraId="6F3D0F53" w14:textId="77777777" w:rsidR="003925B4" w:rsidRPr="00AD0FB8" w:rsidRDefault="003925B4" w:rsidP="003925B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snapToGrid w:val="0"/>
          <w:kern w:val="3"/>
          <w:szCs w:val="24"/>
          <w:lang w:val="sk-SK"/>
        </w:rPr>
      </w:pPr>
      <w:r w:rsidRPr="00AD0FB8">
        <w:rPr>
          <w:rFonts w:ascii="Times New Roman" w:hAnsi="Times New Roman"/>
          <w:snapToGrid w:val="0"/>
          <w:lang w:val="sk-SK"/>
        </w:rPr>
        <w:t>do 14. dňa trvania aktivity: suma na deň na účastníka uvedená v tabuľke vyššie</w:t>
      </w:r>
    </w:p>
    <w:p w14:paraId="1481DDBD" w14:textId="77777777" w:rsidR="003925B4" w:rsidRPr="00AD0FB8" w:rsidRDefault="003925B4" w:rsidP="003925B4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SimSun" w:hAnsi="Times New Roman" w:cs="Times New Roman"/>
          <w:snapToGrid w:val="0"/>
          <w:kern w:val="3"/>
          <w:szCs w:val="24"/>
          <w:lang w:val="sk-SK"/>
        </w:rPr>
      </w:pPr>
      <w:r w:rsidRPr="00AD0FB8">
        <w:rPr>
          <w:rFonts w:ascii="Times New Roman" w:hAnsi="Times New Roman"/>
          <w:snapToGrid w:val="0"/>
          <w:lang w:val="sk-SK"/>
        </w:rPr>
        <w:t>+</w:t>
      </w:r>
    </w:p>
    <w:p w14:paraId="5524556E" w14:textId="77777777" w:rsidR="003925B4" w:rsidRPr="00AD0FB8" w:rsidRDefault="003925B4" w:rsidP="003925B4">
      <w:pPr>
        <w:spacing w:after="0"/>
        <w:jc w:val="both"/>
        <w:rPr>
          <w:rFonts w:ascii="Times New Roman" w:eastAsia="SimSun" w:hAnsi="Times New Roman" w:cs="Times New Roman"/>
          <w:snapToGrid w:val="0"/>
          <w:kern w:val="3"/>
          <w:szCs w:val="24"/>
          <w:lang w:val="sk-SK"/>
        </w:rPr>
      </w:pPr>
      <w:r w:rsidRPr="00AD0FB8">
        <w:rPr>
          <w:rFonts w:ascii="Times New Roman" w:hAnsi="Times New Roman"/>
          <w:snapToGrid w:val="0"/>
          <w:lang w:val="sk-SK"/>
        </w:rPr>
        <w:t>medzi 15. a 60. dňom aktivity so zarátaním financovaných precestovaných dní: 70 % sumy na deň na účastníka, ako sa uvádza v tabuľke vyššie.</w:t>
      </w:r>
    </w:p>
    <w:p w14:paraId="6DEE3885" w14:textId="77777777" w:rsidR="003925B4" w:rsidRPr="00AD0FB8" w:rsidRDefault="003925B4" w:rsidP="003925B4">
      <w:pPr>
        <w:spacing w:after="0"/>
        <w:jc w:val="both"/>
        <w:rPr>
          <w:rFonts w:ascii="Times New Roman" w:hAnsi="Times New Roman" w:cs="Times New Roman"/>
          <w:lang w:val="sk-SK"/>
        </w:rPr>
      </w:pPr>
    </w:p>
    <w:p w14:paraId="475C45E0" w14:textId="55C5F68D" w:rsidR="002B5B2C" w:rsidRPr="007F1E8D" w:rsidRDefault="002B5B2C" w:rsidP="00B03863">
      <w:pPr>
        <w:spacing w:after="0"/>
        <w:jc w:val="both"/>
        <w:rPr>
          <w:rFonts w:ascii="Times New Roman" w:hAnsi="Times New Roman"/>
          <w:lang w:val="sk-SK"/>
        </w:rPr>
      </w:pPr>
      <w:r w:rsidRPr="002B5B2C">
        <w:rPr>
          <w:rFonts w:ascii="Times New Roman" w:hAnsi="Times New Roman"/>
          <w:lang w:val="sk-SK"/>
        </w:rPr>
        <w:t xml:space="preserve">V prípade potreby je možné poskytnúť individuálnu podporu na pokrytie nákladov na pobyt aj počas cestovných dní pred a po mobilite, </w:t>
      </w:r>
      <w:r w:rsidRPr="00B03863">
        <w:rPr>
          <w:rFonts w:ascii="Times New Roman" w:hAnsi="Times New Roman"/>
          <w:lang w:val="sk-SK"/>
        </w:rPr>
        <w:t>maximálne na dva cestovné dni</w:t>
      </w:r>
      <w:r w:rsidRPr="007F1E8D">
        <w:rPr>
          <w:rFonts w:ascii="Times New Roman" w:hAnsi="Times New Roman"/>
          <w:lang w:val="sk-SK"/>
        </w:rPr>
        <w:t xml:space="preserve"> pre účastníkov a sprevádzajúce osoby, ktoré </w:t>
      </w:r>
      <w:r w:rsidRPr="00B03863">
        <w:rPr>
          <w:rFonts w:ascii="Times New Roman" w:hAnsi="Times New Roman"/>
          <w:lang w:val="sk-SK"/>
        </w:rPr>
        <w:t>nevyužívajú ekologický (zelený) spôsob dopravy</w:t>
      </w:r>
      <w:r w:rsidRPr="007F1E8D">
        <w:rPr>
          <w:rFonts w:ascii="Times New Roman" w:hAnsi="Times New Roman"/>
          <w:lang w:val="sk-SK"/>
        </w:rPr>
        <w:t xml:space="preserve">, a </w:t>
      </w:r>
      <w:r w:rsidRPr="00B03863">
        <w:rPr>
          <w:rFonts w:ascii="Times New Roman" w:hAnsi="Times New Roman"/>
          <w:lang w:val="sk-SK"/>
        </w:rPr>
        <w:t>maximálne na šesť cestovných dní</w:t>
      </w:r>
      <w:r w:rsidRPr="007F1E8D">
        <w:rPr>
          <w:rFonts w:ascii="Times New Roman" w:hAnsi="Times New Roman"/>
          <w:lang w:val="sk-SK"/>
        </w:rPr>
        <w:t xml:space="preserve"> v prípade, že ide o </w:t>
      </w:r>
      <w:r w:rsidRPr="00B03863">
        <w:rPr>
          <w:rFonts w:ascii="Times New Roman" w:hAnsi="Times New Roman"/>
          <w:lang w:val="sk-SK"/>
        </w:rPr>
        <w:t>zelené cestovanie</w:t>
      </w:r>
      <w:r w:rsidRPr="007F1E8D">
        <w:rPr>
          <w:rFonts w:ascii="Times New Roman" w:hAnsi="Times New Roman"/>
          <w:lang w:val="sk-SK"/>
        </w:rPr>
        <w:t>.</w:t>
      </w:r>
    </w:p>
    <w:p w14:paraId="29798A24" w14:textId="77777777" w:rsidR="003925B4" w:rsidRPr="00AD0FB8" w:rsidRDefault="003925B4" w:rsidP="003925B4">
      <w:pPr>
        <w:spacing w:after="0"/>
        <w:rPr>
          <w:rFonts w:ascii="Times New Roman" w:hAnsi="Times New Roman" w:cs="Times New Roman"/>
          <w:b/>
          <w:u w:val="single"/>
          <w:lang w:val="sk-SK"/>
        </w:rPr>
      </w:pPr>
    </w:p>
    <w:p w14:paraId="4ACB93FA" w14:textId="77777777" w:rsidR="00AD0FB8" w:rsidRPr="00AD0FB8" w:rsidRDefault="00AD0FB8" w:rsidP="003E0B17">
      <w:pPr>
        <w:spacing w:after="0"/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AD0FB8">
        <w:rPr>
          <w:rFonts w:ascii="Times New Roman" w:hAnsi="Times New Roman"/>
          <w:b/>
          <w:lang w:val="sk-SK"/>
        </w:rPr>
        <w:t>Mobilita študentov</w:t>
      </w:r>
    </w:p>
    <w:p w14:paraId="23FEC0FB" w14:textId="77777777" w:rsidR="00941A79" w:rsidRPr="00941A79" w:rsidRDefault="00941A79" w:rsidP="00941A79">
      <w:pPr>
        <w:spacing w:after="0"/>
        <w:jc w:val="both"/>
        <w:rPr>
          <w:rFonts w:ascii="Times New Roman" w:hAnsi="Times New Roman" w:cs="Times New Roman"/>
          <w:lang w:val="sk-SK"/>
        </w:rPr>
      </w:pPr>
      <w:r w:rsidRPr="00941A79">
        <w:rPr>
          <w:rFonts w:ascii="Times New Roman" w:hAnsi="Times New Roman" w:cs="Times New Roman"/>
          <w:b/>
          <w:bCs/>
          <w:lang w:val="sk-SK"/>
        </w:rPr>
        <w:t>Krátkodobá fyzická mobilita</w:t>
      </w:r>
    </w:p>
    <w:p w14:paraId="7F3E2842" w14:textId="68B27B6F" w:rsidR="00941A79" w:rsidRPr="00941A79" w:rsidRDefault="00941A79" w:rsidP="00941A7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sk-SK"/>
        </w:rPr>
      </w:pPr>
      <w:r w:rsidRPr="00941A79">
        <w:rPr>
          <w:rFonts w:ascii="Times New Roman" w:hAnsi="Times New Roman" w:cs="Times New Roman"/>
          <w:lang w:val="sk-SK"/>
        </w:rPr>
        <w:t xml:space="preserve">Študenti a čerství absolventi na krátkodobej fyzickej mobilite v ktorejkoľvek krajine dostávajú základnú sumu </w:t>
      </w:r>
      <w:r w:rsidRPr="00B03863">
        <w:rPr>
          <w:rFonts w:ascii="Times New Roman" w:hAnsi="Times New Roman" w:cs="Times New Roman"/>
          <w:lang w:val="sk-SK"/>
        </w:rPr>
        <w:t>79 EUR na deň</w:t>
      </w:r>
      <w:r w:rsidRPr="00941A79">
        <w:rPr>
          <w:rFonts w:ascii="Times New Roman" w:hAnsi="Times New Roman" w:cs="Times New Roman"/>
          <w:lang w:val="sk-SK"/>
        </w:rPr>
        <w:t xml:space="preserve"> do 14. dňa aktivity a </w:t>
      </w:r>
      <w:r w:rsidRPr="00B03863">
        <w:rPr>
          <w:rFonts w:ascii="Times New Roman" w:hAnsi="Times New Roman" w:cs="Times New Roman"/>
          <w:lang w:val="sk-SK"/>
        </w:rPr>
        <w:t>56 EUR na deň</w:t>
      </w:r>
      <w:r w:rsidRPr="00941A79">
        <w:rPr>
          <w:rFonts w:ascii="Times New Roman" w:hAnsi="Times New Roman" w:cs="Times New Roman"/>
          <w:lang w:val="sk-SK"/>
        </w:rPr>
        <w:t xml:space="preserve"> od 15. do 30. dňa aktivity </w:t>
      </w:r>
      <w:r w:rsidRPr="00B03863">
        <w:rPr>
          <w:rFonts w:ascii="Times New Roman" w:hAnsi="Times New Roman" w:cs="Times New Roman"/>
          <w:lang w:val="sk-SK"/>
        </w:rPr>
        <w:t>+ dni na cestu</w:t>
      </w:r>
      <w:r w:rsidRPr="00941A79">
        <w:rPr>
          <w:rFonts w:ascii="Times New Roman" w:hAnsi="Times New Roman" w:cs="Times New Roman"/>
          <w:lang w:val="sk-SK"/>
        </w:rPr>
        <w:t>.</w:t>
      </w:r>
    </w:p>
    <w:p w14:paraId="0E9B6C55" w14:textId="2A2BC2C3" w:rsidR="00941A79" w:rsidRPr="00941A79" w:rsidRDefault="00941A79" w:rsidP="00941A7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sk-SK"/>
        </w:rPr>
      </w:pPr>
      <w:r w:rsidRPr="00941A79">
        <w:rPr>
          <w:rFonts w:ascii="Times New Roman" w:hAnsi="Times New Roman" w:cs="Times New Roman"/>
          <w:lang w:val="sk-SK"/>
        </w:rPr>
        <w:t xml:space="preserve">Študenti a čerství absolventi </w:t>
      </w:r>
      <w:r w:rsidRPr="00B03863">
        <w:rPr>
          <w:rFonts w:ascii="Times New Roman" w:hAnsi="Times New Roman" w:cs="Times New Roman"/>
          <w:lang w:val="sk-SK"/>
        </w:rPr>
        <w:t>s nedostatkom príležitostí</w:t>
      </w:r>
      <w:r w:rsidRPr="00941A79">
        <w:rPr>
          <w:rFonts w:ascii="Times New Roman" w:hAnsi="Times New Roman" w:cs="Times New Roman"/>
          <w:lang w:val="sk-SK"/>
        </w:rPr>
        <w:t xml:space="preserve"> na krátkodobej fyzickej mobilite dostávajú </w:t>
      </w:r>
      <w:r w:rsidR="007F1E8D">
        <w:rPr>
          <w:rFonts w:ascii="Times New Roman" w:hAnsi="Times New Roman" w:cs="Times New Roman"/>
          <w:lang w:val="sk-SK"/>
        </w:rPr>
        <w:t>doplňujúcu sumu</w:t>
      </w:r>
      <w:r>
        <w:rPr>
          <w:rFonts w:ascii="Times New Roman" w:hAnsi="Times New Roman" w:cs="Times New Roman"/>
          <w:lang w:val="sk-SK"/>
        </w:rPr>
        <w:t xml:space="preserve"> (top-</w:t>
      </w:r>
      <w:proofErr w:type="spellStart"/>
      <w:r>
        <w:rPr>
          <w:rFonts w:ascii="Times New Roman" w:hAnsi="Times New Roman" w:cs="Times New Roman"/>
          <w:lang w:val="sk-SK"/>
        </w:rPr>
        <w:t>up</w:t>
      </w:r>
      <w:proofErr w:type="spellEnd"/>
      <w:r>
        <w:rPr>
          <w:rFonts w:ascii="Times New Roman" w:hAnsi="Times New Roman" w:cs="Times New Roman"/>
          <w:lang w:val="sk-SK"/>
        </w:rPr>
        <w:t>)</w:t>
      </w:r>
      <w:r w:rsidRPr="00941A79">
        <w:rPr>
          <w:rFonts w:ascii="Times New Roman" w:hAnsi="Times New Roman" w:cs="Times New Roman"/>
          <w:lang w:val="sk-SK"/>
        </w:rPr>
        <w:t xml:space="preserve"> k základnej individuálnej podpore vo výške </w:t>
      </w:r>
      <w:r w:rsidRPr="00B03863">
        <w:rPr>
          <w:rFonts w:ascii="Times New Roman" w:hAnsi="Times New Roman" w:cs="Times New Roman"/>
          <w:lang w:val="sk-SK"/>
        </w:rPr>
        <w:t>100 EUR</w:t>
      </w:r>
      <w:r w:rsidRPr="00941A79">
        <w:rPr>
          <w:rFonts w:ascii="Times New Roman" w:hAnsi="Times New Roman" w:cs="Times New Roman"/>
          <w:lang w:val="sk-SK"/>
        </w:rPr>
        <w:t xml:space="preserve"> pri trvaní fyzickej mobility </w:t>
      </w:r>
      <w:r w:rsidRPr="00B03863">
        <w:rPr>
          <w:rFonts w:ascii="Times New Roman" w:hAnsi="Times New Roman" w:cs="Times New Roman"/>
          <w:lang w:val="sk-SK"/>
        </w:rPr>
        <w:t>5–14 dní</w:t>
      </w:r>
      <w:r w:rsidRPr="00941A79">
        <w:rPr>
          <w:rFonts w:ascii="Times New Roman" w:hAnsi="Times New Roman" w:cs="Times New Roman"/>
          <w:lang w:val="sk-SK"/>
        </w:rPr>
        <w:t xml:space="preserve"> a </w:t>
      </w:r>
      <w:r w:rsidRPr="00B03863">
        <w:rPr>
          <w:rFonts w:ascii="Times New Roman" w:hAnsi="Times New Roman" w:cs="Times New Roman"/>
          <w:lang w:val="sk-SK"/>
        </w:rPr>
        <w:t>150 EUR</w:t>
      </w:r>
      <w:r w:rsidRPr="00941A79">
        <w:rPr>
          <w:rFonts w:ascii="Times New Roman" w:hAnsi="Times New Roman" w:cs="Times New Roman"/>
          <w:lang w:val="sk-SK"/>
        </w:rPr>
        <w:t xml:space="preserve"> pri trvaní </w:t>
      </w:r>
      <w:r w:rsidRPr="00B03863">
        <w:rPr>
          <w:rFonts w:ascii="Times New Roman" w:hAnsi="Times New Roman" w:cs="Times New Roman"/>
          <w:lang w:val="sk-SK"/>
        </w:rPr>
        <w:t>15–30 dní</w:t>
      </w:r>
      <w:r w:rsidRPr="00941A79">
        <w:rPr>
          <w:rFonts w:ascii="Times New Roman" w:hAnsi="Times New Roman" w:cs="Times New Roman"/>
          <w:lang w:val="sk-SK"/>
        </w:rPr>
        <w:t>.</w:t>
      </w:r>
    </w:p>
    <w:p w14:paraId="7B97B232" w14:textId="4196BDF9" w:rsidR="00941A79" w:rsidRPr="00941A79" w:rsidRDefault="007F1E8D" w:rsidP="00941A7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>Doplňujúca suma</w:t>
      </w:r>
      <w:r w:rsidR="00941A79"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 w:cs="Times New Roman"/>
          <w:lang w:val="sk-SK"/>
        </w:rPr>
        <w:t>na</w:t>
      </w:r>
      <w:r w:rsidR="00941A79">
        <w:rPr>
          <w:rFonts w:ascii="Times New Roman" w:hAnsi="Times New Roman" w:cs="Times New Roman"/>
          <w:lang w:val="sk-SK"/>
        </w:rPr>
        <w:t xml:space="preserve"> stáž</w:t>
      </w:r>
      <w:r w:rsidR="00941A79" w:rsidRPr="00B03863">
        <w:rPr>
          <w:rFonts w:ascii="Times New Roman" w:hAnsi="Times New Roman" w:cs="Times New Roman"/>
          <w:lang w:val="sk-SK"/>
        </w:rPr>
        <w:t xml:space="preserve"> sa nevzťahuje</w:t>
      </w:r>
      <w:r w:rsidR="00941A79" w:rsidRPr="00941A79">
        <w:rPr>
          <w:rFonts w:ascii="Times New Roman" w:hAnsi="Times New Roman" w:cs="Times New Roman"/>
          <w:lang w:val="sk-SK"/>
        </w:rPr>
        <w:t xml:space="preserve"> na študentov a čerstvých absolventov na krátkodobej mobilite v rámci stáží.</w:t>
      </w:r>
    </w:p>
    <w:p w14:paraId="059C26A6" w14:textId="77777777" w:rsidR="00941A79" w:rsidRPr="00941A79" w:rsidRDefault="00EF07FF" w:rsidP="00941A79">
      <w:pPr>
        <w:spacing w:after="0"/>
        <w:jc w:val="both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pict w14:anchorId="7E3A5E6D">
          <v:rect id="_x0000_i1025" style="width:0;height:1.5pt" o:hralign="center" o:hrstd="t" o:hr="t" fillcolor="#a0a0a0" stroked="f"/>
        </w:pict>
      </w:r>
    </w:p>
    <w:p w14:paraId="528352CB" w14:textId="30D184DB" w:rsidR="00941A79" w:rsidRPr="00941A79" w:rsidRDefault="00941A79" w:rsidP="00941A79">
      <w:pPr>
        <w:spacing w:after="0"/>
        <w:jc w:val="both"/>
        <w:rPr>
          <w:rFonts w:ascii="Times New Roman" w:hAnsi="Times New Roman" w:cs="Times New Roman"/>
          <w:lang w:val="sk-SK"/>
        </w:rPr>
      </w:pPr>
      <w:r w:rsidRPr="00941A79">
        <w:rPr>
          <w:rFonts w:ascii="Times New Roman" w:hAnsi="Times New Roman" w:cs="Times New Roman"/>
          <w:lang w:val="sk-SK"/>
        </w:rPr>
        <w:br/>
      </w:r>
      <w:r w:rsidRPr="00941A79">
        <w:rPr>
          <w:rFonts w:ascii="Times New Roman" w:hAnsi="Times New Roman" w:cs="Times New Roman"/>
          <w:b/>
          <w:bCs/>
          <w:lang w:val="sk-SK"/>
        </w:rPr>
        <w:t>Dlhodobá fyzická mobilita</w:t>
      </w:r>
      <w:r>
        <w:rPr>
          <w:rFonts w:ascii="Times New Roman" w:hAnsi="Times New Roman" w:cs="Times New Roman"/>
          <w:b/>
          <w:bCs/>
          <w:lang w:val="sk-SK"/>
        </w:rPr>
        <w:t xml:space="preserve"> </w:t>
      </w:r>
    </w:p>
    <w:p w14:paraId="3F8CBFBA" w14:textId="7B5A5260" w:rsidR="00AD0FB8" w:rsidRPr="00542D5F" w:rsidRDefault="00AD0FB8" w:rsidP="00AD0FB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Cs w:val="24"/>
          <w:lang w:val="sk-SK"/>
        </w:rPr>
      </w:pPr>
      <w:r w:rsidRPr="00542D5F">
        <w:rPr>
          <w:rFonts w:ascii="Times New Roman" w:hAnsi="Times New Roman"/>
          <w:bCs/>
          <w:lang w:val="sk-SK"/>
        </w:rPr>
        <w:t xml:space="preserve">Základná suma v prípade dlhodobej mobility študentov na účely štúdia </w:t>
      </w:r>
      <w:r w:rsidR="003925B4" w:rsidRPr="00542D5F">
        <w:rPr>
          <w:rFonts w:ascii="Times New Roman" w:hAnsi="Times New Roman"/>
          <w:bCs/>
          <w:lang w:val="sk-SK"/>
        </w:rPr>
        <w:t xml:space="preserve"> a stáže </w:t>
      </w:r>
      <w:r w:rsidRPr="00542D5F">
        <w:rPr>
          <w:rFonts w:ascii="Times New Roman" w:hAnsi="Times New Roman"/>
          <w:bCs/>
          <w:lang w:val="sk-SK"/>
        </w:rPr>
        <w:t xml:space="preserve">v členských štátoch EÚ, tretích krajinách pridružených k programu a tretích krajinách nepridružených k programu z regiónov 13 a 14 </w:t>
      </w:r>
    </w:p>
    <w:tbl>
      <w:tblPr>
        <w:tblpPr w:leftFromText="180" w:rightFromText="180" w:vertAnchor="text" w:horzAnchor="margin" w:tblpY="43"/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995"/>
        <w:gridCol w:w="1910"/>
        <w:gridCol w:w="1726"/>
      </w:tblGrid>
      <w:tr w:rsidR="004065B8" w:rsidRPr="00B05AD7" w14:paraId="31FF6465" w14:textId="77777777" w:rsidTr="0013140E">
        <w:trPr>
          <w:trHeight w:val="699"/>
        </w:trPr>
        <w:tc>
          <w:tcPr>
            <w:tcW w:w="5995" w:type="dxa"/>
            <w:shd w:val="clear" w:color="auto" w:fill="D9D9D9"/>
            <w:vAlign w:val="center"/>
          </w:tcPr>
          <w:p w14:paraId="7644750C" w14:textId="2AC80E90" w:rsidR="004065B8" w:rsidRPr="00B05AD7" w:rsidRDefault="00BB6A60" w:rsidP="009D0E12">
            <w:pPr>
              <w:spacing w:after="0"/>
              <w:jc w:val="center"/>
              <w:rPr>
                <w:rFonts w:ascii="Times New Roman" w:hAnsi="Times New Roman"/>
                <w:b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Prijímajúca</w:t>
            </w:r>
            <w:r w:rsidR="004065B8" w:rsidRPr="00B05AD7">
              <w:rPr>
                <w:rFonts w:ascii="Times New Roman" w:hAnsi="Times New Roman"/>
                <w:b/>
                <w:lang w:val="sk-SK"/>
              </w:rPr>
              <w:t xml:space="preserve"> krajina</w:t>
            </w:r>
          </w:p>
        </w:tc>
        <w:tc>
          <w:tcPr>
            <w:tcW w:w="1910" w:type="dxa"/>
            <w:shd w:val="clear" w:color="auto" w:fill="D9D9D9"/>
            <w:vAlign w:val="center"/>
          </w:tcPr>
          <w:p w14:paraId="3B4B4A57" w14:textId="77777777" w:rsidR="004065B8" w:rsidRPr="00B05AD7" w:rsidRDefault="004065B8" w:rsidP="009D0E12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lang w:val="sk-SK"/>
              </w:rPr>
            </w:pPr>
            <w:r w:rsidRPr="00B05AD7">
              <w:rPr>
                <w:rFonts w:ascii="Times New Roman" w:hAnsi="Times New Roman"/>
                <w:b/>
                <w:snapToGrid w:val="0"/>
                <w:lang w:val="sk-SK"/>
              </w:rPr>
              <w:t>Sadzba/mesiac</w:t>
            </w:r>
          </w:p>
          <w:p w14:paraId="526FC48B" w14:textId="77777777" w:rsidR="004065B8" w:rsidRPr="00B05AD7" w:rsidRDefault="004065B8" w:rsidP="009D0E12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lang w:val="sk-SK"/>
              </w:rPr>
            </w:pPr>
            <w:r w:rsidRPr="00B05AD7">
              <w:rPr>
                <w:rFonts w:ascii="Times New Roman" w:hAnsi="Times New Roman"/>
                <w:b/>
                <w:snapToGrid w:val="0"/>
                <w:lang w:val="sk-SK"/>
              </w:rPr>
              <w:t>štúdium</w:t>
            </w:r>
          </w:p>
        </w:tc>
        <w:tc>
          <w:tcPr>
            <w:tcW w:w="1726" w:type="dxa"/>
            <w:shd w:val="clear" w:color="auto" w:fill="D9D9D9"/>
            <w:vAlign w:val="center"/>
          </w:tcPr>
          <w:p w14:paraId="24D3F9A4" w14:textId="77777777" w:rsidR="004065B8" w:rsidRPr="00B05AD7" w:rsidRDefault="004065B8" w:rsidP="009D0E12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lang w:val="sk-SK"/>
              </w:rPr>
            </w:pPr>
            <w:r w:rsidRPr="00B05AD7">
              <w:rPr>
                <w:rFonts w:ascii="Times New Roman" w:hAnsi="Times New Roman"/>
                <w:b/>
                <w:snapToGrid w:val="0"/>
                <w:lang w:val="sk-SK"/>
              </w:rPr>
              <w:t>Sadzba/mesiac</w:t>
            </w:r>
          </w:p>
          <w:p w14:paraId="731CC6B1" w14:textId="77777777" w:rsidR="004065B8" w:rsidRPr="00B05AD7" w:rsidRDefault="004065B8" w:rsidP="009D0E12">
            <w:pPr>
              <w:spacing w:after="0"/>
              <w:jc w:val="center"/>
              <w:rPr>
                <w:rFonts w:ascii="Times New Roman" w:hAnsi="Times New Roman"/>
                <w:b/>
                <w:snapToGrid w:val="0"/>
                <w:lang w:val="sk-SK"/>
              </w:rPr>
            </w:pPr>
            <w:r w:rsidRPr="00B05AD7">
              <w:rPr>
                <w:rFonts w:ascii="Times New Roman" w:hAnsi="Times New Roman"/>
                <w:b/>
                <w:snapToGrid w:val="0"/>
                <w:lang w:val="sk-SK"/>
              </w:rPr>
              <w:t>stáž</w:t>
            </w:r>
          </w:p>
        </w:tc>
      </w:tr>
      <w:tr w:rsidR="004065B8" w:rsidRPr="00B05AD7" w14:paraId="114D72AF" w14:textId="77777777" w:rsidTr="0013140E">
        <w:trPr>
          <w:trHeight w:val="960"/>
        </w:trPr>
        <w:tc>
          <w:tcPr>
            <w:tcW w:w="5995" w:type="dxa"/>
            <w:shd w:val="clear" w:color="auto" w:fill="D5DCE4"/>
            <w:vAlign w:val="center"/>
          </w:tcPr>
          <w:p w14:paraId="19978C4F" w14:textId="77777777" w:rsidR="004065B8" w:rsidRDefault="004065B8" w:rsidP="009D0E12">
            <w:pPr>
              <w:spacing w:before="120" w:after="0"/>
              <w:jc w:val="center"/>
              <w:rPr>
                <w:rFonts w:ascii="Times New Roman" w:hAnsi="Times New Roman"/>
                <w:b/>
                <w:lang w:val="sk-SK"/>
              </w:rPr>
            </w:pPr>
            <w:r w:rsidRPr="00B05AD7">
              <w:rPr>
                <w:rFonts w:ascii="Times New Roman" w:hAnsi="Times New Roman"/>
                <w:b/>
                <w:bCs/>
                <w:lang w:val="sk-SK"/>
              </w:rPr>
              <w:t xml:space="preserve">Skupina krajín 1: </w:t>
            </w:r>
            <w:r w:rsidRPr="00B05AD7">
              <w:rPr>
                <w:rFonts w:ascii="Times New Roman" w:hAnsi="Times New Roman"/>
                <w:b/>
                <w:lang w:val="sk-SK"/>
              </w:rPr>
              <w:t>Belgicko, Dánsko, Fínsko, Francúzsko, Holandsko, Írsko, Island, Lichtenštajnsko, Luxembursko, Nemecko, Nórsko, Rakúsko, Švédsko, Taliansko</w:t>
            </w:r>
          </w:p>
          <w:p w14:paraId="2DBB4657" w14:textId="5753B97F" w:rsidR="004065B8" w:rsidRPr="00B05AD7" w:rsidRDefault="004065B8" w:rsidP="009D0E12">
            <w:pPr>
              <w:spacing w:before="120" w:after="0"/>
              <w:jc w:val="center"/>
              <w:rPr>
                <w:rFonts w:ascii="Times New Roman" w:hAnsi="Times New Roman"/>
                <w:b/>
                <w:lang w:val="sk-SK"/>
              </w:rPr>
            </w:pPr>
            <w:r>
              <w:rPr>
                <w:rFonts w:ascii="Times New Roman" w:hAnsi="Times New Roman"/>
                <w:b/>
                <w:lang w:val="sk-SK"/>
              </w:rPr>
              <w:t>Tretie krajiny nepridružené k program</w:t>
            </w:r>
            <w:r w:rsidR="000D12BB">
              <w:rPr>
                <w:rFonts w:ascii="Times New Roman" w:hAnsi="Times New Roman"/>
                <w:b/>
                <w:lang w:val="sk-SK"/>
              </w:rPr>
              <w:t>u</w:t>
            </w:r>
            <w:r>
              <w:rPr>
                <w:rFonts w:ascii="Times New Roman" w:hAnsi="Times New Roman"/>
                <w:b/>
                <w:lang w:val="sk-SK"/>
              </w:rPr>
              <w:t xml:space="preserve"> z regiónu 13 a 14</w:t>
            </w:r>
          </w:p>
        </w:tc>
        <w:tc>
          <w:tcPr>
            <w:tcW w:w="1910" w:type="dxa"/>
            <w:vAlign w:val="center"/>
          </w:tcPr>
          <w:p w14:paraId="048654AC" w14:textId="77777777" w:rsidR="004065B8" w:rsidRPr="00B05AD7" w:rsidRDefault="004065B8" w:rsidP="009D0E12">
            <w:pPr>
              <w:jc w:val="center"/>
              <w:rPr>
                <w:rFonts w:ascii="Times New Roman" w:hAnsi="Times New Roman"/>
                <w:snapToGrid w:val="0"/>
                <w:lang w:val="sk-SK"/>
              </w:rPr>
            </w:pPr>
            <w:r w:rsidRPr="00B05AD7">
              <w:rPr>
                <w:rFonts w:ascii="Times New Roman" w:hAnsi="Times New Roman"/>
                <w:snapToGrid w:val="0"/>
                <w:lang w:val="sk-SK"/>
              </w:rPr>
              <w:t>674 €</w:t>
            </w:r>
          </w:p>
        </w:tc>
        <w:tc>
          <w:tcPr>
            <w:tcW w:w="1726" w:type="dxa"/>
            <w:vAlign w:val="center"/>
          </w:tcPr>
          <w:p w14:paraId="306AEE87" w14:textId="77777777" w:rsidR="004065B8" w:rsidRPr="00B05AD7" w:rsidRDefault="004065B8" w:rsidP="009D0E12">
            <w:pPr>
              <w:jc w:val="center"/>
              <w:rPr>
                <w:rFonts w:ascii="Times New Roman" w:hAnsi="Times New Roman"/>
                <w:snapToGrid w:val="0"/>
                <w:lang w:val="sk-SK"/>
              </w:rPr>
            </w:pPr>
            <w:r w:rsidRPr="00B05AD7">
              <w:rPr>
                <w:rFonts w:ascii="Times New Roman" w:hAnsi="Times New Roman"/>
                <w:snapToGrid w:val="0"/>
                <w:lang w:val="sk-SK"/>
              </w:rPr>
              <w:t>824 €</w:t>
            </w:r>
          </w:p>
        </w:tc>
      </w:tr>
      <w:tr w:rsidR="004065B8" w:rsidRPr="00B05AD7" w14:paraId="13D3E306" w14:textId="77777777" w:rsidTr="0013140E">
        <w:trPr>
          <w:trHeight w:val="989"/>
        </w:trPr>
        <w:tc>
          <w:tcPr>
            <w:tcW w:w="5995" w:type="dxa"/>
            <w:shd w:val="clear" w:color="auto" w:fill="D5DCE4"/>
            <w:vAlign w:val="center"/>
          </w:tcPr>
          <w:p w14:paraId="63355B8B" w14:textId="77777777" w:rsidR="004065B8" w:rsidRPr="00B05AD7" w:rsidRDefault="004065B8" w:rsidP="009D0E12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lang w:val="sk-SK"/>
              </w:rPr>
            </w:pPr>
            <w:r w:rsidRPr="00B05AD7">
              <w:rPr>
                <w:rFonts w:ascii="Times New Roman" w:hAnsi="Times New Roman"/>
                <w:b/>
                <w:bCs/>
                <w:lang w:val="sk-SK"/>
              </w:rPr>
              <w:t xml:space="preserve">Skupina krajín 2: </w:t>
            </w:r>
            <w:r w:rsidRPr="00B05AD7">
              <w:rPr>
                <w:rFonts w:ascii="Times New Roman" w:hAnsi="Times New Roman"/>
                <w:b/>
                <w:lang w:val="sk-SK"/>
              </w:rPr>
              <w:t>Cyprus, Česká republika, Estónsko, Grécko, Lotyšsko, Malta, Portugalsko, Slovensko, Slovinsko, Španielsko</w:t>
            </w:r>
          </w:p>
        </w:tc>
        <w:tc>
          <w:tcPr>
            <w:tcW w:w="1910" w:type="dxa"/>
            <w:vAlign w:val="center"/>
          </w:tcPr>
          <w:p w14:paraId="1105D7A3" w14:textId="77777777" w:rsidR="004065B8" w:rsidRPr="00B05AD7" w:rsidRDefault="004065B8" w:rsidP="009D0E12">
            <w:pPr>
              <w:jc w:val="center"/>
              <w:rPr>
                <w:rFonts w:ascii="Times New Roman" w:hAnsi="Times New Roman"/>
                <w:snapToGrid w:val="0"/>
                <w:lang w:val="sk-SK"/>
              </w:rPr>
            </w:pPr>
            <w:r w:rsidRPr="00B05AD7">
              <w:rPr>
                <w:rFonts w:ascii="Times New Roman" w:hAnsi="Times New Roman"/>
                <w:snapToGrid w:val="0"/>
                <w:lang w:val="sk-SK"/>
              </w:rPr>
              <w:t>606 €</w:t>
            </w:r>
          </w:p>
        </w:tc>
        <w:tc>
          <w:tcPr>
            <w:tcW w:w="1726" w:type="dxa"/>
            <w:vAlign w:val="center"/>
          </w:tcPr>
          <w:p w14:paraId="282E5086" w14:textId="77777777" w:rsidR="004065B8" w:rsidRPr="00B05AD7" w:rsidRDefault="004065B8" w:rsidP="009D0E12">
            <w:pPr>
              <w:jc w:val="center"/>
              <w:rPr>
                <w:rFonts w:ascii="Times New Roman" w:hAnsi="Times New Roman"/>
                <w:snapToGrid w:val="0"/>
                <w:lang w:val="sk-SK"/>
              </w:rPr>
            </w:pPr>
            <w:r w:rsidRPr="00B05AD7">
              <w:rPr>
                <w:rFonts w:ascii="Times New Roman" w:hAnsi="Times New Roman"/>
                <w:snapToGrid w:val="0"/>
                <w:lang w:val="sk-SK"/>
              </w:rPr>
              <w:t>756 €</w:t>
            </w:r>
          </w:p>
        </w:tc>
      </w:tr>
      <w:tr w:rsidR="004065B8" w:rsidRPr="00B05AD7" w14:paraId="2659DBDC" w14:textId="77777777" w:rsidTr="0013140E">
        <w:trPr>
          <w:trHeight w:val="1149"/>
        </w:trPr>
        <w:tc>
          <w:tcPr>
            <w:tcW w:w="5995" w:type="dxa"/>
            <w:shd w:val="clear" w:color="auto" w:fill="D5DCE4"/>
            <w:vAlign w:val="center"/>
          </w:tcPr>
          <w:p w14:paraId="42B91573" w14:textId="77777777" w:rsidR="004065B8" w:rsidRPr="00B05AD7" w:rsidRDefault="004065B8" w:rsidP="009D0E12">
            <w:pPr>
              <w:spacing w:before="120"/>
              <w:jc w:val="center"/>
              <w:rPr>
                <w:rFonts w:ascii="Times New Roman" w:hAnsi="Times New Roman"/>
                <w:b/>
                <w:lang w:val="sk-SK"/>
              </w:rPr>
            </w:pPr>
            <w:r w:rsidRPr="00B05AD7">
              <w:rPr>
                <w:rFonts w:ascii="Times New Roman" w:hAnsi="Times New Roman"/>
                <w:b/>
                <w:bCs/>
                <w:lang w:val="sk-SK"/>
              </w:rPr>
              <w:t xml:space="preserve">Skupina krajín 3: </w:t>
            </w:r>
            <w:r w:rsidRPr="00B05AD7">
              <w:rPr>
                <w:rFonts w:ascii="Times New Roman" w:hAnsi="Times New Roman"/>
                <w:b/>
                <w:lang w:val="sk-SK"/>
              </w:rPr>
              <w:t>Bulharsko, Chorvátsko, Litva, Maďarsko, Poľsko, Rumunsko, Severné Macedónsko, Srbsko, Turecko</w:t>
            </w:r>
          </w:p>
        </w:tc>
        <w:tc>
          <w:tcPr>
            <w:tcW w:w="1910" w:type="dxa"/>
            <w:vAlign w:val="center"/>
          </w:tcPr>
          <w:p w14:paraId="5178C66D" w14:textId="77777777" w:rsidR="004065B8" w:rsidRPr="00B05AD7" w:rsidRDefault="004065B8" w:rsidP="009D0E12">
            <w:pPr>
              <w:jc w:val="center"/>
              <w:rPr>
                <w:rFonts w:ascii="Times New Roman" w:hAnsi="Times New Roman"/>
                <w:snapToGrid w:val="0"/>
                <w:lang w:val="sk-SK"/>
              </w:rPr>
            </w:pPr>
            <w:r w:rsidRPr="00B05AD7">
              <w:rPr>
                <w:rFonts w:ascii="Times New Roman" w:hAnsi="Times New Roman"/>
                <w:snapToGrid w:val="0"/>
                <w:lang w:val="sk-SK"/>
              </w:rPr>
              <w:t>550 €</w:t>
            </w:r>
          </w:p>
        </w:tc>
        <w:tc>
          <w:tcPr>
            <w:tcW w:w="1726" w:type="dxa"/>
            <w:vAlign w:val="center"/>
          </w:tcPr>
          <w:p w14:paraId="216121C9" w14:textId="77777777" w:rsidR="004065B8" w:rsidRPr="00B05AD7" w:rsidRDefault="004065B8" w:rsidP="009D0E12">
            <w:pPr>
              <w:jc w:val="center"/>
              <w:rPr>
                <w:rFonts w:ascii="Times New Roman" w:hAnsi="Times New Roman"/>
                <w:snapToGrid w:val="0"/>
                <w:lang w:val="sk-SK"/>
              </w:rPr>
            </w:pPr>
            <w:r w:rsidRPr="00B05AD7">
              <w:rPr>
                <w:rFonts w:ascii="Times New Roman" w:hAnsi="Times New Roman"/>
                <w:snapToGrid w:val="0"/>
                <w:lang w:val="sk-SK"/>
              </w:rPr>
              <w:t>700 €</w:t>
            </w:r>
          </w:p>
        </w:tc>
      </w:tr>
    </w:tbl>
    <w:p w14:paraId="6E5D4DD6" w14:textId="77777777" w:rsidR="004065B8" w:rsidRPr="00C94E98" w:rsidRDefault="004065B8" w:rsidP="0013140E">
      <w:pPr>
        <w:spacing w:after="0"/>
        <w:ind w:left="720"/>
        <w:jc w:val="both"/>
        <w:rPr>
          <w:rFonts w:ascii="Times New Roman" w:hAnsi="Times New Roman" w:cs="Times New Roman"/>
          <w:b/>
          <w:szCs w:val="24"/>
          <w:lang w:val="sk-SK"/>
        </w:rPr>
      </w:pPr>
    </w:p>
    <w:p w14:paraId="7AB70AD8" w14:textId="77777777" w:rsidR="00C94E98" w:rsidRPr="00C94E98" w:rsidRDefault="00C94E98" w:rsidP="00C94E98">
      <w:pPr>
        <w:spacing w:after="0"/>
        <w:ind w:left="720"/>
        <w:jc w:val="both"/>
        <w:rPr>
          <w:rFonts w:ascii="Times New Roman" w:hAnsi="Times New Roman" w:cs="Times New Roman"/>
          <w:b/>
          <w:szCs w:val="24"/>
          <w:lang w:val="sk-SK"/>
        </w:rPr>
      </w:pPr>
    </w:p>
    <w:p w14:paraId="7C3577DD" w14:textId="77777777" w:rsidR="00AD0FB8" w:rsidRPr="00AD0FB8" w:rsidRDefault="00AD0FB8" w:rsidP="00AD0FB8">
      <w:pPr>
        <w:spacing w:after="0"/>
        <w:rPr>
          <w:rFonts w:ascii="Times New Roman" w:hAnsi="Times New Roman" w:cs="Times New Roman"/>
          <w:szCs w:val="24"/>
          <w:lang w:val="sk-SK"/>
        </w:rPr>
      </w:pPr>
    </w:p>
    <w:p w14:paraId="2A444FAC" w14:textId="4BBCB731" w:rsidR="00AD0FB8" w:rsidRPr="00AD0FB8" w:rsidRDefault="00AD0FB8" w:rsidP="00DD54B8">
      <w:pPr>
        <w:spacing w:after="0"/>
        <w:jc w:val="both"/>
        <w:rPr>
          <w:rFonts w:ascii="Times New Roman" w:hAnsi="Times New Roman" w:cs="Times New Roman"/>
          <w:szCs w:val="24"/>
          <w:lang w:val="sk-SK"/>
        </w:rPr>
      </w:pPr>
      <w:r w:rsidRPr="00AD0FB8">
        <w:rPr>
          <w:rFonts w:ascii="Times New Roman" w:hAnsi="Times New Roman"/>
          <w:lang w:val="sk-SK"/>
        </w:rPr>
        <w:lastRenderedPageBreak/>
        <w:t xml:space="preserve">Tieto sadzby stanovené národnou agentúrou sú </w:t>
      </w:r>
      <w:r w:rsidRPr="00AD0FB8">
        <w:rPr>
          <w:rFonts w:ascii="Times New Roman" w:hAnsi="Times New Roman"/>
          <w:b/>
          <w:u w:val="single"/>
          <w:lang w:val="sk-SK"/>
        </w:rPr>
        <w:t>pevnými sadzbami</w:t>
      </w:r>
      <w:r w:rsidRPr="00AD0FB8">
        <w:rPr>
          <w:rFonts w:ascii="Times New Roman" w:hAnsi="Times New Roman"/>
          <w:lang w:val="sk-SK"/>
        </w:rPr>
        <w:t xml:space="preserve"> pre celý projekt mobility.</w:t>
      </w:r>
    </w:p>
    <w:p w14:paraId="1705CF88" w14:textId="77777777" w:rsidR="00AD0FB8" w:rsidRPr="00AD0FB8" w:rsidRDefault="00AD0FB8" w:rsidP="00AD0FB8">
      <w:pPr>
        <w:spacing w:after="0"/>
        <w:rPr>
          <w:rFonts w:ascii="Times New Roman" w:hAnsi="Times New Roman" w:cs="Times New Roman"/>
          <w:b/>
          <w:szCs w:val="24"/>
          <w:lang w:val="sk-SK"/>
        </w:rPr>
      </w:pPr>
    </w:p>
    <w:p w14:paraId="302E1C83" w14:textId="6508FA75" w:rsidR="00AD0FB8" w:rsidRPr="00C94E98" w:rsidRDefault="00AD0FB8" w:rsidP="0013140E">
      <w:pPr>
        <w:spacing w:after="0"/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C94E98">
        <w:rPr>
          <w:rFonts w:ascii="Times New Roman" w:hAnsi="Times New Roman"/>
          <w:b/>
          <w:lang w:val="sk-SK"/>
        </w:rPr>
        <w:t xml:space="preserve">Základná suma v prípade dlhodobej mobility študentov na účely štúdia alebo stáže smerom do </w:t>
      </w:r>
      <w:r w:rsidR="00E1273B">
        <w:rPr>
          <w:rFonts w:ascii="Times New Roman" w:hAnsi="Times New Roman"/>
          <w:b/>
          <w:lang w:val="sk-SK"/>
        </w:rPr>
        <w:t xml:space="preserve">a z </w:t>
      </w:r>
      <w:r w:rsidRPr="00C94E98">
        <w:rPr>
          <w:rFonts w:ascii="Times New Roman" w:hAnsi="Times New Roman"/>
          <w:b/>
          <w:lang w:val="sk-SK"/>
        </w:rPr>
        <w:t xml:space="preserve">tretích krajín nepridružených k programu </w:t>
      </w:r>
      <w:r w:rsidR="008A515A">
        <w:rPr>
          <w:rFonts w:ascii="Times New Roman" w:hAnsi="Times New Roman"/>
          <w:b/>
          <w:lang w:val="sk-SK"/>
        </w:rPr>
        <w:t>z regiónov 1-12</w:t>
      </w:r>
    </w:p>
    <w:tbl>
      <w:tblPr>
        <w:tblStyle w:val="TableGrid4"/>
        <w:tblW w:w="0" w:type="auto"/>
        <w:tblInd w:w="-5" w:type="dxa"/>
        <w:tblLook w:val="04A0" w:firstRow="1" w:lastRow="0" w:firstColumn="1" w:lastColumn="0" w:noHBand="0" w:noVBand="1"/>
      </w:tblPr>
      <w:tblGrid>
        <w:gridCol w:w="4452"/>
        <w:gridCol w:w="4756"/>
      </w:tblGrid>
      <w:tr w:rsidR="008A515A" w:rsidRPr="00AD0FB8" w14:paraId="6754815B" w14:textId="77777777" w:rsidTr="0013140E">
        <w:tc>
          <w:tcPr>
            <w:tcW w:w="4452" w:type="dxa"/>
            <w:shd w:val="clear" w:color="auto" w:fill="D9D9D9" w:themeFill="background1" w:themeFillShade="D9"/>
          </w:tcPr>
          <w:p w14:paraId="0A2E6115" w14:textId="77777777" w:rsidR="008A515A" w:rsidRPr="00AD0FB8" w:rsidRDefault="008A515A" w:rsidP="00CC023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D0FB8">
              <w:rPr>
                <w:rFonts w:ascii="Times New Roman" w:hAnsi="Times New Roman"/>
                <w:b/>
              </w:rPr>
              <w:t>Prijímajúca krajina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14:paraId="304F253E" w14:textId="54E9F5D4" w:rsidR="008A515A" w:rsidRPr="00AD0FB8" w:rsidRDefault="008A515A" w:rsidP="00CC023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D0FB8">
              <w:rPr>
                <w:rFonts w:ascii="Times New Roman" w:hAnsi="Times New Roman"/>
                <w:b/>
              </w:rPr>
              <w:t>Suma</w:t>
            </w:r>
            <w:r w:rsidR="00470F52">
              <w:rPr>
                <w:rFonts w:ascii="Times New Roman" w:hAnsi="Times New Roman"/>
                <w:b/>
              </w:rPr>
              <w:t xml:space="preserve"> na mesiac na štúdium/stáž</w:t>
            </w:r>
          </w:p>
        </w:tc>
      </w:tr>
      <w:tr w:rsidR="008A515A" w:rsidRPr="00AD0FB8" w14:paraId="0FB47FE5" w14:textId="77777777" w:rsidTr="0013140E">
        <w:tc>
          <w:tcPr>
            <w:tcW w:w="4452" w:type="dxa"/>
            <w:vAlign w:val="center"/>
          </w:tcPr>
          <w:p w14:paraId="43E8C015" w14:textId="26AA9876" w:rsidR="008A515A" w:rsidRPr="00AD0FB8" w:rsidRDefault="00E1273B" w:rsidP="001A61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05AD7">
              <w:rPr>
                <w:rFonts w:ascii="Times New Roman" w:hAnsi="Times New Roman"/>
                <w:b/>
              </w:rPr>
              <w:t xml:space="preserve">Krajiny v regiónoch 1 – </w:t>
            </w:r>
            <w:r>
              <w:rPr>
                <w:rFonts w:ascii="Times New Roman" w:hAnsi="Times New Roman"/>
                <w:b/>
              </w:rPr>
              <w:t>3 a 5 –</w:t>
            </w:r>
            <w:r w:rsidRPr="00B05AD7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756" w:type="dxa"/>
          </w:tcPr>
          <w:p w14:paraId="13ACF7F3" w14:textId="77777777" w:rsidR="001A61D0" w:rsidRDefault="001A61D0" w:rsidP="001A61D0">
            <w:pPr>
              <w:jc w:val="center"/>
              <w:rPr>
                <w:rFonts w:ascii="Times New Roman" w:hAnsi="Times New Roman"/>
              </w:rPr>
            </w:pPr>
          </w:p>
          <w:p w14:paraId="531DC516" w14:textId="5E6D9BEC" w:rsidR="008A515A" w:rsidRPr="00AD0FB8" w:rsidRDefault="008A515A" w:rsidP="001A61D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D0FB8">
              <w:rPr>
                <w:rFonts w:ascii="Times New Roman" w:hAnsi="Times New Roman"/>
              </w:rPr>
              <w:t xml:space="preserve">700 EUR </w:t>
            </w:r>
          </w:p>
          <w:p w14:paraId="381EC691" w14:textId="77777777" w:rsidR="008A515A" w:rsidRPr="00AD0FB8" w:rsidRDefault="008A515A" w:rsidP="00CC023C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1273B" w:rsidRPr="00AD0FB8" w14:paraId="279297BF" w14:textId="77777777" w:rsidTr="0013140E">
        <w:trPr>
          <w:trHeight w:val="496"/>
        </w:trPr>
        <w:tc>
          <w:tcPr>
            <w:tcW w:w="4452" w:type="dxa"/>
            <w:vAlign w:val="center"/>
          </w:tcPr>
          <w:p w14:paraId="22C13569" w14:textId="707ED9D9" w:rsidR="00E1273B" w:rsidRPr="00470F52" w:rsidRDefault="00E1273B" w:rsidP="001A61D0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Slovensko</w:t>
            </w:r>
          </w:p>
        </w:tc>
        <w:tc>
          <w:tcPr>
            <w:tcW w:w="4756" w:type="dxa"/>
          </w:tcPr>
          <w:p w14:paraId="692ABC9C" w14:textId="743B4EAF" w:rsidR="00E1273B" w:rsidRDefault="00E1273B" w:rsidP="001A61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850 €</w:t>
            </w:r>
          </w:p>
        </w:tc>
      </w:tr>
    </w:tbl>
    <w:p w14:paraId="45F43BB3" w14:textId="77777777" w:rsidR="00AD0FB8" w:rsidRPr="00AD0FB8" w:rsidRDefault="00AD0FB8" w:rsidP="00C57F52">
      <w:pPr>
        <w:spacing w:after="0"/>
        <w:jc w:val="both"/>
        <w:rPr>
          <w:rFonts w:ascii="Times New Roman" w:hAnsi="Times New Roman" w:cs="Times New Roman"/>
          <w:b/>
          <w:szCs w:val="24"/>
          <w:lang w:val="sk-SK"/>
        </w:rPr>
      </w:pPr>
    </w:p>
    <w:p w14:paraId="2C167A0F" w14:textId="31256CBB" w:rsidR="00B82876" w:rsidRPr="0013140E" w:rsidRDefault="00B82876" w:rsidP="0013140E">
      <w:pPr>
        <w:spacing w:after="0"/>
        <w:jc w:val="both"/>
        <w:rPr>
          <w:rFonts w:ascii="Times New Roman" w:hAnsi="Times New Roman" w:cs="Times New Roman"/>
          <w:szCs w:val="24"/>
          <w:lang w:val="sk-SK"/>
        </w:rPr>
      </w:pPr>
      <w:r w:rsidRPr="0013140E">
        <w:rPr>
          <w:rFonts w:ascii="Times New Roman" w:hAnsi="Times New Roman" w:cs="Times New Roman"/>
          <w:szCs w:val="24"/>
          <w:lang w:val="sk-SK"/>
        </w:rPr>
        <w:t>Doplňujúca suma (top-</w:t>
      </w:r>
      <w:proofErr w:type="spellStart"/>
      <w:r w:rsidRPr="0013140E">
        <w:rPr>
          <w:rFonts w:ascii="Times New Roman" w:hAnsi="Times New Roman" w:cs="Times New Roman"/>
          <w:szCs w:val="24"/>
          <w:lang w:val="sk-SK"/>
        </w:rPr>
        <w:t>up</w:t>
      </w:r>
      <w:proofErr w:type="spellEnd"/>
      <w:r w:rsidRPr="0013140E">
        <w:rPr>
          <w:rFonts w:ascii="Times New Roman" w:hAnsi="Times New Roman" w:cs="Times New Roman"/>
          <w:szCs w:val="24"/>
          <w:lang w:val="sk-SK"/>
        </w:rPr>
        <w:t>)</w:t>
      </w:r>
      <w:r w:rsidR="002B5B2C" w:rsidRPr="0013140E">
        <w:rPr>
          <w:rFonts w:ascii="Times New Roman" w:hAnsi="Times New Roman" w:cs="Times New Roman"/>
          <w:szCs w:val="24"/>
          <w:lang w:val="sk-SK"/>
        </w:rPr>
        <w:t xml:space="preserve"> pre študentov a čerstvých absolventov s nedostatkom príležitostí sa </w:t>
      </w:r>
      <w:r w:rsidRPr="0013140E">
        <w:rPr>
          <w:rFonts w:ascii="Times New Roman" w:hAnsi="Times New Roman" w:cs="Times New Roman"/>
          <w:szCs w:val="24"/>
          <w:lang w:val="sk-SK"/>
        </w:rPr>
        <w:t>uplatňuje</w:t>
      </w:r>
      <w:r w:rsidR="002B5B2C" w:rsidRPr="0013140E">
        <w:rPr>
          <w:rFonts w:ascii="Times New Roman" w:hAnsi="Times New Roman" w:cs="Times New Roman"/>
          <w:szCs w:val="24"/>
          <w:lang w:val="sk-SK"/>
        </w:rPr>
        <w:t>.</w:t>
      </w:r>
    </w:p>
    <w:p w14:paraId="2C5CF22E" w14:textId="77777777" w:rsidR="00BB6A60" w:rsidRPr="0013140E" w:rsidRDefault="00BB6A60" w:rsidP="00BB6A60">
      <w:pPr>
        <w:spacing w:after="0"/>
        <w:ind w:left="720"/>
        <w:jc w:val="both"/>
        <w:rPr>
          <w:rFonts w:ascii="Times New Roman" w:hAnsi="Times New Roman" w:cs="Times New Roman"/>
          <w:szCs w:val="24"/>
          <w:lang w:val="sk-SK"/>
        </w:rPr>
      </w:pPr>
    </w:p>
    <w:p w14:paraId="4146FED4" w14:textId="0F50DDE2" w:rsidR="00B82876" w:rsidRPr="0013140E" w:rsidRDefault="00B82876" w:rsidP="0013140E">
      <w:pPr>
        <w:spacing w:after="0"/>
        <w:jc w:val="both"/>
        <w:rPr>
          <w:rFonts w:ascii="Times New Roman" w:hAnsi="Times New Roman" w:cs="Times New Roman"/>
          <w:szCs w:val="24"/>
          <w:lang w:val="sk-SK"/>
        </w:rPr>
      </w:pPr>
      <w:r w:rsidRPr="0013140E">
        <w:rPr>
          <w:rFonts w:ascii="Times New Roman" w:hAnsi="Times New Roman" w:cs="Times New Roman"/>
          <w:szCs w:val="24"/>
          <w:lang w:val="sk-SK"/>
        </w:rPr>
        <w:t>Doplňujúca suma na stáž</w:t>
      </w:r>
      <w:r w:rsidR="002B5B2C" w:rsidRPr="0013140E">
        <w:rPr>
          <w:rFonts w:ascii="Times New Roman" w:hAnsi="Times New Roman" w:cs="Times New Roman"/>
          <w:szCs w:val="24"/>
          <w:lang w:val="sk-SK"/>
        </w:rPr>
        <w:t xml:space="preserve"> sa uplatní len v prípade mobility do tretích krajín nepridružených k</w:t>
      </w:r>
      <w:r w:rsidRPr="0013140E">
        <w:rPr>
          <w:rFonts w:ascii="Times New Roman" w:hAnsi="Times New Roman" w:cs="Times New Roman"/>
          <w:szCs w:val="24"/>
          <w:lang w:val="sk-SK"/>
        </w:rPr>
        <w:t xml:space="preserve"> programu z regiónov 13 a 14.</w:t>
      </w:r>
    </w:p>
    <w:p w14:paraId="33AD48F2" w14:textId="482E06C3" w:rsidR="002B5B2C" w:rsidRPr="0013140E" w:rsidRDefault="002B5B2C" w:rsidP="0013140E">
      <w:pPr>
        <w:spacing w:after="0"/>
        <w:jc w:val="both"/>
        <w:rPr>
          <w:rFonts w:ascii="Times New Roman" w:hAnsi="Times New Roman" w:cs="Times New Roman"/>
          <w:szCs w:val="24"/>
          <w:lang w:val="sk-SK"/>
        </w:rPr>
      </w:pPr>
      <w:r w:rsidRPr="0013140E">
        <w:rPr>
          <w:rFonts w:ascii="Times New Roman" w:hAnsi="Times New Roman" w:cs="Times New Roman"/>
          <w:szCs w:val="24"/>
          <w:lang w:val="sk-SK"/>
        </w:rPr>
        <w:t xml:space="preserve"> </w:t>
      </w:r>
      <w:r w:rsidRPr="0013140E">
        <w:rPr>
          <w:rFonts w:ascii="Times New Roman" w:hAnsi="Times New Roman" w:cs="Times New Roman"/>
          <w:szCs w:val="24"/>
          <w:lang w:val="sk-SK"/>
        </w:rPr>
        <w:br/>
        <w:t>Členské štáty EÚ a tretie krajiny pridružené k programu zahŕňajú aj najvzdialenejšie regióny a zámorské krajiny a územia (</w:t>
      </w:r>
      <w:proofErr w:type="spellStart"/>
      <w:r w:rsidRPr="0013140E">
        <w:rPr>
          <w:rFonts w:ascii="Times New Roman" w:hAnsi="Times New Roman" w:cs="Times New Roman"/>
          <w:szCs w:val="24"/>
          <w:lang w:val="sk-SK"/>
        </w:rPr>
        <w:t>OCTs</w:t>
      </w:r>
      <w:proofErr w:type="spellEnd"/>
      <w:r w:rsidRPr="0013140E">
        <w:rPr>
          <w:rFonts w:ascii="Times New Roman" w:hAnsi="Times New Roman" w:cs="Times New Roman"/>
          <w:szCs w:val="24"/>
          <w:lang w:val="sk-SK"/>
        </w:rPr>
        <w:t>).</w:t>
      </w:r>
    </w:p>
    <w:p w14:paraId="6C7EA4EA" w14:textId="77777777" w:rsidR="00B82876" w:rsidRPr="002B5B2C" w:rsidRDefault="00B82876" w:rsidP="00B03863">
      <w:pPr>
        <w:spacing w:after="0"/>
        <w:ind w:left="720"/>
        <w:jc w:val="both"/>
        <w:rPr>
          <w:rFonts w:ascii="Times New Roman" w:hAnsi="Times New Roman" w:cs="Times New Roman"/>
          <w:b/>
          <w:szCs w:val="24"/>
          <w:lang w:val="sk-SK"/>
        </w:rPr>
      </w:pPr>
    </w:p>
    <w:p w14:paraId="45A30BD5" w14:textId="329E9CAE" w:rsidR="00AD0FB8" w:rsidRPr="00AD0FB8" w:rsidRDefault="003E0B17" w:rsidP="0013140E">
      <w:pPr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b/>
          <w:szCs w:val="24"/>
          <w:lang w:val="sk-SK"/>
        </w:rPr>
      </w:pPr>
      <w:r w:rsidRPr="00B03863">
        <w:rPr>
          <w:rFonts w:ascii="Times New Roman" w:hAnsi="Times New Roman"/>
          <w:bCs/>
          <w:lang w:val="sk-SK"/>
        </w:rPr>
        <w:t>D</w:t>
      </w:r>
      <w:r w:rsidR="00AD0FB8" w:rsidRPr="00B03863">
        <w:rPr>
          <w:rFonts w:ascii="Times New Roman" w:hAnsi="Times New Roman"/>
          <w:bCs/>
          <w:lang w:val="sk-SK"/>
        </w:rPr>
        <w:t>lhodobá mobilita študentov na účely stáže</w:t>
      </w:r>
      <w:r w:rsidR="00AD0FB8" w:rsidRPr="00BB6A60">
        <w:rPr>
          <w:rFonts w:ascii="Times New Roman" w:hAnsi="Times New Roman"/>
          <w:bCs/>
          <w:lang w:val="sk-SK"/>
        </w:rPr>
        <w:t xml:space="preserve"> do členských štátov EÚ, tretích krajín pridružených k programu a tretích krajín nepridružených k programu z regiónov 13 a 14:</w:t>
      </w:r>
      <w:r w:rsidR="00AD0FB8" w:rsidRPr="00B03863">
        <w:rPr>
          <w:rFonts w:ascii="Times New Roman" w:hAnsi="Times New Roman"/>
          <w:bCs/>
          <w:lang w:val="sk-SK"/>
        </w:rPr>
        <w:t xml:space="preserve"> </w:t>
      </w:r>
      <w:r w:rsidR="00AD0FB8" w:rsidRPr="00BB6A60">
        <w:rPr>
          <w:rFonts w:ascii="Times New Roman" w:hAnsi="Times New Roman"/>
          <w:bCs/>
          <w:lang w:val="sk-SK"/>
        </w:rPr>
        <w:t xml:space="preserve">ďalšia </w:t>
      </w:r>
      <w:r w:rsidR="00AD0FB8" w:rsidRPr="00B03863">
        <w:rPr>
          <w:rFonts w:ascii="Times New Roman" w:hAnsi="Times New Roman"/>
          <w:bCs/>
          <w:lang w:val="sk-SK"/>
        </w:rPr>
        <w:t>doplňujúca suma</w:t>
      </w:r>
      <w:r w:rsidR="00B82876">
        <w:rPr>
          <w:rFonts w:ascii="Times New Roman" w:hAnsi="Times New Roman"/>
          <w:lang w:val="sk-SK"/>
        </w:rPr>
        <w:t xml:space="preserve"> </w:t>
      </w:r>
      <w:r w:rsidR="00AD0FB8" w:rsidRPr="00AD0FB8">
        <w:rPr>
          <w:rFonts w:ascii="Times New Roman" w:hAnsi="Times New Roman"/>
          <w:lang w:val="sk-SK"/>
        </w:rPr>
        <w:t xml:space="preserve">k základnej sume individuálnej podpory vo výške </w:t>
      </w:r>
      <w:r w:rsidR="00AD0FB8" w:rsidRPr="00AD0FB8">
        <w:rPr>
          <w:rFonts w:ascii="Times New Roman" w:hAnsi="Times New Roman"/>
          <w:b/>
          <w:lang w:val="sk-SK"/>
        </w:rPr>
        <w:t>150 EUR mesačne</w:t>
      </w:r>
      <w:r w:rsidR="00AD0FB8" w:rsidRPr="00AD0FB8">
        <w:rPr>
          <w:rFonts w:ascii="Times New Roman" w:hAnsi="Times New Roman"/>
          <w:lang w:val="sk-SK"/>
        </w:rPr>
        <w:t>. Študenti a čerství absolventi s nedostatkom príležitostí, ktorí sa zúčastňujú na stáži, majú nárok na získanie doplňujúcej sumy pre študentov a čerstvých absolventov s nedostatkom príležitostí, ako aj doplňujúcej sumy na stáž.</w:t>
      </w:r>
      <w:r w:rsidR="00F16587">
        <w:rPr>
          <w:rFonts w:ascii="Times New Roman" w:hAnsi="Times New Roman"/>
          <w:lang w:val="sk-SK"/>
        </w:rPr>
        <w:t xml:space="preserve"> </w:t>
      </w:r>
    </w:p>
    <w:p w14:paraId="1B09C100" w14:textId="77777777" w:rsidR="00AD0FB8" w:rsidRPr="00BB6A60" w:rsidRDefault="00AD0FB8" w:rsidP="007E5F21">
      <w:pPr>
        <w:numPr>
          <w:ilvl w:val="0"/>
          <w:numId w:val="1"/>
        </w:numPr>
        <w:spacing w:after="0"/>
        <w:ind w:left="284"/>
        <w:jc w:val="both"/>
        <w:rPr>
          <w:rFonts w:ascii="Times New Roman" w:eastAsia="SimSun" w:hAnsi="Times New Roman" w:cs="Times New Roman"/>
          <w:bCs/>
          <w:szCs w:val="24"/>
          <w:lang w:val="sk-SK"/>
        </w:rPr>
      </w:pPr>
      <w:r w:rsidRPr="00B03863">
        <w:rPr>
          <w:rFonts w:ascii="Times New Roman" w:hAnsi="Times New Roman"/>
          <w:bCs/>
          <w:lang w:val="sk-SK"/>
        </w:rPr>
        <w:t>Dlhodobá mobilita študentov v prípade študentov a čerstvých absolventov s nedostatkom príležitostí:</w:t>
      </w:r>
      <w:r w:rsidRPr="00BB6A60">
        <w:rPr>
          <w:rFonts w:ascii="Times New Roman" w:hAnsi="Times New Roman"/>
          <w:bCs/>
          <w:lang w:val="sk-SK"/>
        </w:rPr>
        <w:t xml:space="preserve"> ďalšia </w:t>
      </w:r>
      <w:r w:rsidRPr="00B03863">
        <w:rPr>
          <w:rFonts w:ascii="Times New Roman" w:hAnsi="Times New Roman"/>
          <w:bCs/>
          <w:lang w:val="sk-SK"/>
        </w:rPr>
        <w:t>doplňujúca suma</w:t>
      </w:r>
      <w:r w:rsidRPr="00BB6A60">
        <w:rPr>
          <w:rFonts w:ascii="Times New Roman" w:hAnsi="Times New Roman"/>
          <w:bCs/>
          <w:lang w:val="sk-SK"/>
        </w:rPr>
        <w:t xml:space="preserve"> k základnej sume individuálnej podpory vo výške </w:t>
      </w:r>
      <w:r w:rsidRPr="00B03863">
        <w:rPr>
          <w:rFonts w:ascii="Times New Roman" w:hAnsi="Times New Roman"/>
          <w:bCs/>
          <w:snapToGrid w:val="0"/>
          <w:lang w:val="sk-SK"/>
        </w:rPr>
        <w:t>250 EUR mesačne</w:t>
      </w:r>
      <w:r w:rsidRPr="00BB6A60">
        <w:rPr>
          <w:rFonts w:ascii="Times New Roman" w:hAnsi="Times New Roman"/>
          <w:bCs/>
          <w:snapToGrid w:val="0"/>
          <w:lang w:val="sk-SK"/>
        </w:rPr>
        <w:t xml:space="preserve">. </w:t>
      </w:r>
    </w:p>
    <w:p w14:paraId="73C70816" w14:textId="112B4D03" w:rsidR="008D2E1F" w:rsidRPr="007E5F21" w:rsidRDefault="008D2E1F" w:rsidP="00BF0981">
      <w:pPr>
        <w:pStyle w:val="Odsekzoznamu"/>
        <w:numPr>
          <w:ilvl w:val="0"/>
          <w:numId w:val="1"/>
        </w:num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lang w:val="sk-SK" w:eastAsia="sk-SK"/>
        </w:rPr>
      </w:pPr>
      <w:r w:rsidRPr="007E5F21">
        <w:rPr>
          <w:rFonts w:ascii="Times New Roman" w:eastAsia="Times New Roman" w:hAnsi="Times New Roman" w:cs="Times New Roman"/>
          <w:bCs/>
          <w:lang w:val="sk-SK" w:eastAsia="sk-SK"/>
        </w:rPr>
        <w:t>Dni na cestu (platné pre dlhodobú aj krátkodobú mobilitu):</w:t>
      </w:r>
      <w:r w:rsidR="007E5F21" w:rsidRPr="007E5F21">
        <w:rPr>
          <w:rFonts w:ascii="Times New Roman" w:eastAsia="Times New Roman" w:hAnsi="Times New Roman" w:cs="Times New Roman"/>
          <w:bCs/>
          <w:lang w:val="sk-SK" w:eastAsia="sk-SK"/>
        </w:rPr>
        <w:t xml:space="preserve"> </w:t>
      </w:r>
      <w:r w:rsidRPr="007E5F21">
        <w:rPr>
          <w:rFonts w:ascii="Times New Roman" w:eastAsia="Times New Roman" w:hAnsi="Times New Roman" w:cs="Times New Roman"/>
          <w:lang w:val="sk-SK" w:eastAsia="sk-SK"/>
        </w:rPr>
        <w:t>V prípade potreby je možné poskytnúť individuálnu podporu na pokrytie nákladov na pobyt počas cestovných dní pred a po mobilite, maximálne na dva cestovné dni pre účastníkov a sprevádzajúce osoby, ktoré nevyužívajú ekologický spôsob cestovania, a maximálne na šesť cestovných dní v prípade zeleného cestovania.</w:t>
      </w:r>
    </w:p>
    <w:p w14:paraId="14A19215" w14:textId="78F429F6" w:rsidR="00AD0FB8" w:rsidRPr="00AD0FB8" w:rsidRDefault="00AD0FB8" w:rsidP="00AD0FB8">
      <w:pPr>
        <w:spacing w:after="0"/>
        <w:rPr>
          <w:rFonts w:ascii="Times New Roman" w:hAnsi="Times New Roman" w:cs="Times New Roman"/>
          <w:b/>
          <w:szCs w:val="24"/>
          <w:lang w:val="sk-SK"/>
        </w:rPr>
      </w:pPr>
      <w:r w:rsidRPr="00AD0FB8">
        <w:rPr>
          <w:rFonts w:ascii="Times New Roman" w:hAnsi="Times New Roman"/>
          <w:b/>
          <w:lang w:val="sk-SK"/>
        </w:rPr>
        <w:t>3. Organizačná podpora</w:t>
      </w:r>
    </w:p>
    <w:p w14:paraId="156DDF5C" w14:textId="77777777" w:rsidR="00AD0FB8" w:rsidRPr="00AD0FB8" w:rsidRDefault="00AD0FB8" w:rsidP="00AD0FB8">
      <w:pPr>
        <w:spacing w:after="0"/>
        <w:rPr>
          <w:rFonts w:ascii="Times New Roman" w:hAnsi="Times New Roman" w:cs="Times New Roman"/>
          <w:szCs w:val="24"/>
          <w:lang w:val="sk-SK"/>
        </w:rPr>
      </w:pPr>
    </w:p>
    <w:p w14:paraId="331E9AF3" w14:textId="77777777" w:rsidR="00AD0FB8" w:rsidRPr="00AD0FB8" w:rsidRDefault="00AD0FB8" w:rsidP="00AD0FB8">
      <w:pPr>
        <w:spacing w:after="0"/>
        <w:rPr>
          <w:rFonts w:ascii="Times New Roman" w:hAnsi="Times New Roman" w:cs="Times New Roman"/>
          <w:b/>
          <w:szCs w:val="24"/>
          <w:lang w:val="sk-SK"/>
        </w:rPr>
      </w:pPr>
      <w:r w:rsidRPr="00AD0FB8">
        <w:rPr>
          <w:rFonts w:ascii="Times New Roman" w:hAnsi="Times New Roman"/>
          <w:b/>
          <w:lang w:val="sk-SK"/>
        </w:rPr>
        <w:t>Organizačná podpora mobility</w:t>
      </w:r>
    </w:p>
    <w:p w14:paraId="691918FD" w14:textId="458C9599" w:rsidR="00AD0FB8" w:rsidRPr="00AD0FB8" w:rsidRDefault="00AD0FB8" w:rsidP="00AD0FB8">
      <w:pPr>
        <w:spacing w:after="0"/>
        <w:rPr>
          <w:rFonts w:ascii="Times New Roman" w:hAnsi="Times New Roman" w:cs="Times New Roman"/>
          <w:szCs w:val="24"/>
          <w:lang w:val="sk-SK"/>
        </w:rPr>
      </w:pPr>
      <w:r w:rsidRPr="00AD0FB8">
        <w:rPr>
          <w:rFonts w:ascii="Times New Roman" w:hAnsi="Times New Roman"/>
          <w:lang w:val="sk-SK"/>
        </w:rPr>
        <w:t>do 100. účastníka: 400 EUR na účastníka</w:t>
      </w:r>
    </w:p>
    <w:p w14:paraId="02E0844C" w14:textId="77777777" w:rsidR="00AD0FB8" w:rsidRPr="00AD0FB8" w:rsidRDefault="00AD0FB8" w:rsidP="00AD0FB8">
      <w:pPr>
        <w:spacing w:after="0"/>
        <w:rPr>
          <w:rFonts w:ascii="Times New Roman" w:hAnsi="Times New Roman" w:cs="Times New Roman"/>
          <w:szCs w:val="24"/>
          <w:lang w:val="sk-SK"/>
        </w:rPr>
      </w:pPr>
      <w:r w:rsidRPr="00AD0FB8">
        <w:rPr>
          <w:rFonts w:ascii="Times New Roman" w:hAnsi="Times New Roman"/>
          <w:lang w:val="sk-SK"/>
        </w:rPr>
        <w:t>+ nad 100. účastníka: 230 EUR na každého ďalšieho účastníka.</w:t>
      </w:r>
    </w:p>
    <w:p w14:paraId="7A3FF7AD" w14:textId="77777777" w:rsidR="00AD0FB8" w:rsidRPr="00AD0FB8" w:rsidRDefault="00AD0FB8" w:rsidP="00AD0FB8">
      <w:pPr>
        <w:spacing w:after="0"/>
        <w:rPr>
          <w:rFonts w:ascii="Times New Roman" w:hAnsi="Times New Roman" w:cs="Times New Roman"/>
          <w:szCs w:val="24"/>
          <w:lang w:val="sk-SK"/>
        </w:rPr>
      </w:pPr>
    </w:p>
    <w:p w14:paraId="1A75F6D1" w14:textId="6816DB12" w:rsidR="00AD0FB8" w:rsidRPr="00AD0FB8" w:rsidRDefault="00E24ABE" w:rsidP="00AD0FB8">
      <w:pPr>
        <w:spacing w:after="0"/>
        <w:rPr>
          <w:rFonts w:ascii="Times New Roman" w:hAnsi="Times New Roman" w:cs="Times New Roman"/>
          <w:b/>
          <w:szCs w:val="24"/>
          <w:lang w:val="sk-SK"/>
        </w:rPr>
      </w:pPr>
      <w:r>
        <w:rPr>
          <w:rFonts w:ascii="Times New Roman" w:hAnsi="Times New Roman"/>
          <w:b/>
          <w:lang w:val="sk-SK"/>
        </w:rPr>
        <w:t>O</w:t>
      </w:r>
      <w:r w:rsidR="00AD0FB8" w:rsidRPr="00AD0FB8">
        <w:rPr>
          <w:rFonts w:ascii="Times New Roman" w:hAnsi="Times New Roman"/>
          <w:b/>
          <w:lang w:val="sk-SK"/>
        </w:rPr>
        <w:t>rganizačná podpora pre zmiešané intenzívne programy</w:t>
      </w:r>
    </w:p>
    <w:p w14:paraId="6A3F5626" w14:textId="001552DF" w:rsidR="00AD0FB8" w:rsidRPr="00AD0FB8" w:rsidRDefault="00AD0FB8" w:rsidP="00470F52">
      <w:pPr>
        <w:spacing w:after="0"/>
        <w:jc w:val="both"/>
        <w:rPr>
          <w:rFonts w:ascii="Times New Roman" w:hAnsi="Times New Roman" w:cs="Times New Roman"/>
          <w:szCs w:val="24"/>
          <w:lang w:val="sk-SK"/>
        </w:rPr>
      </w:pPr>
      <w:r w:rsidRPr="00AD0FB8">
        <w:rPr>
          <w:rFonts w:ascii="Times New Roman" w:hAnsi="Times New Roman"/>
          <w:lang w:val="sk-SK"/>
        </w:rPr>
        <w:t>400 EUR na účastníka mobility s minimálnym počtom 1</w:t>
      </w:r>
      <w:r w:rsidR="00EA2DF1">
        <w:rPr>
          <w:rFonts w:ascii="Times New Roman" w:hAnsi="Times New Roman"/>
          <w:lang w:val="sk-SK"/>
        </w:rPr>
        <w:t>0</w:t>
      </w:r>
      <w:r w:rsidRPr="00AD0FB8">
        <w:rPr>
          <w:rFonts w:ascii="Times New Roman" w:hAnsi="Times New Roman"/>
          <w:lang w:val="sk-SK"/>
        </w:rPr>
        <w:t xml:space="preserve"> učiacich sa účastníkov a maximálnym počtom 20 učiacich sa účastníkov poberajúcich financovanie </w:t>
      </w:r>
      <w:r w:rsidR="003154BE">
        <w:rPr>
          <w:rFonts w:ascii="Times New Roman" w:hAnsi="Times New Roman"/>
          <w:lang w:val="sk-SK"/>
        </w:rPr>
        <w:t>.</w:t>
      </w:r>
    </w:p>
    <w:p w14:paraId="1AD8D81C" w14:textId="77777777" w:rsidR="00AD0FB8" w:rsidRPr="00AD0FB8" w:rsidRDefault="00AD0FB8" w:rsidP="00AD0FB8">
      <w:pPr>
        <w:spacing w:after="0"/>
        <w:rPr>
          <w:rFonts w:ascii="Times New Roman" w:hAnsi="Times New Roman" w:cs="Times New Roman"/>
          <w:szCs w:val="24"/>
          <w:lang w:val="sk-SK"/>
        </w:rPr>
      </w:pPr>
    </w:p>
    <w:p w14:paraId="451A8553" w14:textId="0411C62E" w:rsidR="00AD0FB8" w:rsidRPr="00AD0FB8" w:rsidRDefault="00AD0FB8" w:rsidP="00AD0FB8">
      <w:pPr>
        <w:spacing w:after="0"/>
        <w:rPr>
          <w:rFonts w:ascii="Times New Roman" w:hAnsi="Times New Roman" w:cs="Times New Roman"/>
          <w:szCs w:val="24"/>
          <w:lang w:val="sk-SK"/>
        </w:rPr>
      </w:pPr>
      <w:r w:rsidRPr="00AD0FB8">
        <w:rPr>
          <w:rFonts w:ascii="Times New Roman" w:hAnsi="Times New Roman"/>
          <w:b/>
          <w:lang w:val="sk-SK"/>
        </w:rPr>
        <w:t>4. Podpora inklúzie pre organizácie</w:t>
      </w:r>
    </w:p>
    <w:p w14:paraId="25798AF5" w14:textId="77777777" w:rsidR="00AD0FB8" w:rsidRPr="00AD0FB8" w:rsidRDefault="00AD0FB8" w:rsidP="00AD0FB8">
      <w:pPr>
        <w:spacing w:after="0"/>
        <w:rPr>
          <w:rFonts w:ascii="Times New Roman" w:hAnsi="Times New Roman" w:cs="Times New Roman"/>
          <w:szCs w:val="24"/>
          <w:lang w:val="sk-SK"/>
        </w:rPr>
      </w:pPr>
    </w:p>
    <w:p w14:paraId="42D4AF9F" w14:textId="5FD76D71" w:rsidR="00AD0FB8" w:rsidRPr="00AD0FB8" w:rsidRDefault="00AD0FB8" w:rsidP="00470F52">
      <w:pPr>
        <w:spacing w:after="0"/>
        <w:jc w:val="both"/>
        <w:rPr>
          <w:rFonts w:ascii="Times New Roman" w:hAnsi="Times New Roman" w:cs="Times New Roman"/>
          <w:szCs w:val="24"/>
          <w:lang w:val="sk-SK"/>
        </w:rPr>
      </w:pPr>
      <w:r w:rsidRPr="00AD0FB8">
        <w:rPr>
          <w:rFonts w:ascii="Times New Roman" w:hAnsi="Times New Roman"/>
          <w:b/>
          <w:lang w:val="sk-SK"/>
        </w:rPr>
        <w:t>1</w:t>
      </w:r>
      <w:r w:rsidR="00FB625F">
        <w:rPr>
          <w:rFonts w:ascii="Times New Roman" w:hAnsi="Times New Roman"/>
          <w:b/>
          <w:lang w:val="sk-SK"/>
        </w:rPr>
        <w:t>25</w:t>
      </w:r>
      <w:r w:rsidRPr="00AD0FB8">
        <w:rPr>
          <w:rFonts w:ascii="Times New Roman" w:hAnsi="Times New Roman"/>
          <w:b/>
          <w:lang w:val="sk-SK"/>
        </w:rPr>
        <w:t> EUR</w:t>
      </w:r>
      <w:r w:rsidRPr="00AD0FB8">
        <w:rPr>
          <w:rFonts w:ascii="Times New Roman" w:hAnsi="Times New Roman"/>
          <w:lang w:val="sk-SK"/>
        </w:rPr>
        <w:t xml:space="preserve"> na účastníka na náklady súvisiace s organizáciou aktivít v rámci mobility pre účastníkov s nedostatkom príležitostí poberajúcich dodatočnú podporu na základe skutočných nákladov prostredníctvom rozpočtovej kategórie podpora inklúzie pre účastníkov.</w:t>
      </w:r>
    </w:p>
    <w:bookmarkEnd w:id="0"/>
    <w:p w14:paraId="4A882F60" w14:textId="77777777" w:rsidR="001B5CF7" w:rsidRDefault="001B5CF7" w:rsidP="00AD0FB8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sk-SK"/>
        </w:rPr>
      </w:pPr>
    </w:p>
    <w:p w14:paraId="41D58095" w14:textId="77777777" w:rsidR="00BF6AC8" w:rsidRDefault="00BF6AC8" w:rsidP="00AD0FB8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sk-SK"/>
        </w:rPr>
      </w:pPr>
    </w:p>
    <w:p w14:paraId="024CB7CD" w14:textId="77777777" w:rsidR="00BF6AC8" w:rsidRDefault="00BF6AC8" w:rsidP="00AD0FB8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sk-SK"/>
        </w:rPr>
      </w:pPr>
    </w:p>
    <w:p w14:paraId="72809B5C" w14:textId="77777777" w:rsidR="00BF6AC8" w:rsidRDefault="00BF6AC8" w:rsidP="00AD0FB8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sk-SK"/>
        </w:rPr>
      </w:pPr>
    </w:p>
    <w:p w14:paraId="67FF9342" w14:textId="77777777" w:rsidR="00BF6AC8" w:rsidRDefault="00BF6AC8" w:rsidP="00AD0FB8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sk-SK"/>
        </w:rPr>
      </w:pPr>
    </w:p>
    <w:p w14:paraId="590CBC4F" w14:textId="367C4AB0" w:rsidR="00BF6AC8" w:rsidRDefault="00BF6AC8" w:rsidP="00AD0FB8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sk-SK"/>
        </w:rPr>
      </w:pPr>
      <w:r>
        <w:rPr>
          <w:rFonts w:ascii="Times New Roman" w:hAnsi="Times New Roman" w:cs="Times New Roman"/>
          <w:color w:val="FF0000"/>
          <w:lang w:val="sk-SK"/>
        </w:rPr>
        <w:t>Kalkulačka pre študentské mobility</w:t>
      </w:r>
    </w:p>
    <w:p w14:paraId="34DF5678" w14:textId="77777777" w:rsidR="00BF6AC8" w:rsidRDefault="00BF6AC8" w:rsidP="00AD0FB8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sk-SK"/>
        </w:rPr>
      </w:pPr>
    </w:p>
    <w:p w14:paraId="65C28EDD" w14:textId="4A4523F8" w:rsidR="00BF6AC8" w:rsidRDefault="00BF6AC8" w:rsidP="00AD0FB8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sk-SK"/>
        </w:rPr>
      </w:pPr>
      <w:hyperlink r:id="rId8" w:history="1">
        <w:r w:rsidRPr="00F53D45">
          <w:rPr>
            <w:rStyle w:val="Hypertextovprepojenie"/>
            <w:rFonts w:ascii="Times New Roman" w:hAnsi="Times New Roman" w:cs="Times New Roman"/>
            <w:lang w:val="sk-SK"/>
          </w:rPr>
          <w:t>https://erasmusgeneration.org/grant-simulator</w:t>
        </w:r>
      </w:hyperlink>
    </w:p>
    <w:p w14:paraId="508657A5" w14:textId="77777777" w:rsidR="00BF6AC8" w:rsidRDefault="00BF6AC8" w:rsidP="00AD0FB8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sk-SK"/>
        </w:rPr>
      </w:pPr>
    </w:p>
    <w:p w14:paraId="1BEEEF2B" w14:textId="77777777" w:rsidR="00BF6AC8" w:rsidRPr="00AD0FB8" w:rsidRDefault="00BF6AC8" w:rsidP="00AD0FB8">
      <w:pPr>
        <w:spacing w:after="0" w:line="240" w:lineRule="auto"/>
        <w:jc w:val="center"/>
        <w:rPr>
          <w:rFonts w:ascii="Times New Roman" w:hAnsi="Times New Roman" w:cs="Times New Roman"/>
          <w:color w:val="FF0000"/>
          <w:lang w:val="sk-SK"/>
        </w:rPr>
      </w:pPr>
    </w:p>
    <w:sectPr w:rsidR="00BF6AC8" w:rsidRPr="00AD0FB8" w:rsidSect="001D475D">
      <w:headerReference w:type="default" r:id="rId9"/>
      <w:footerReference w:type="default" r:id="rId1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B48B9" w14:textId="77777777" w:rsidR="00B51171" w:rsidRDefault="00B51171" w:rsidP="00017B30">
      <w:pPr>
        <w:spacing w:after="0" w:line="240" w:lineRule="auto"/>
      </w:pPr>
      <w:r>
        <w:separator/>
      </w:r>
    </w:p>
  </w:endnote>
  <w:endnote w:type="continuationSeparator" w:id="0">
    <w:p w14:paraId="72702CC6" w14:textId="77777777" w:rsidR="00B51171" w:rsidRDefault="00B51171" w:rsidP="000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44183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3E0D852" w14:textId="77777777" w:rsidR="00B51171" w:rsidRDefault="00B51171">
        <w:pPr>
          <w:pStyle w:val="Pta"/>
          <w:jc w:val="right"/>
        </w:pPr>
        <w:r w:rsidRPr="009B60E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9B60E9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9B60E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F06229">
          <w:rPr>
            <w:rFonts w:ascii="Times New Roman" w:hAnsi="Times New Roman" w:cs="Times New Roman"/>
            <w:noProof/>
            <w:sz w:val="18"/>
            <w:szCs w:val="18"/>
          </w:rPr>
          <w:t>6</w:t>
        </w:r>
        <w:r w:rsidRPr="009B60E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43D79D5A" w14:textId="77777777" w:rsidR="00B51171" w:rsidRDefault="00B5117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F7B5" w14:textId="77777777" w:rsidR="00B51171" w:rsidRDefault="00B51171" w:rsidP="00017B30">
      <w:pPr>
        <w:spacing w:after="0" w:line="240" w:lineRule="auto"/>
      </w:pPr>
      <w:r>
        <w:separator/>
      </w:r>
    </w:p>
  </w:footnote>
  <w:footnote w:type="continuationSeparator" w:id="0">
    <w:p w14:paraId="5D93A19E" w14:textId="77777777" w:rsidR="00B51171" w:rsidRDefault="00B51171" w:rsidP="000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E79F3" w14:textId="30A79759" w:rsidR="00B51171" w:rsidRPr="00017B30" w:rsidRDefault="00B03863">
    <w:pPr>
      <w:pStyle w:val="Hlavika"/>
      <w:rPr>
        <w:rFonts w:ascii="Times New Roman" w:hAnsi="Times New Roman" w:cs="Times New Roman"/>
        <w:sz w:val="20"/>
        <w:szCs w:val="20"/>
        <w:lang w:val="sk-SK"/>
      </w:rPr>
    </w:pPr>
    <w:r>
      <w:rPr>
        <w:rFonts w:ascii="Times New Roman" w:hAnsi="Times New Roman" w:cs="Times New Roman"/>
        <w:sz w:val="20"/>
        <w:szCs w:val="20"/>
        <w:lang w:val="sk-SK"/>
      </w:rPr>
      <w:t xml:space="preserve">Príloha </w:t>
    </w:r>
    <w:r w:rsidR="007F1E8D">
      <w:rPr>
        <w:rFonts w:ascii="Times New Roman" w:hAnsi="Times New Roman" w:cs="Times New Roman"/>
        <w:sz w:val="20"/>
        <w:szCs w:val="20"/>
        <w:lang w:val="sk-SK"/>
      </w:rPr>
      <w:t>3</w:t>
    </w:r>
    <w:r w:rsidR="00B51171" w:rsidRPr="00017B30">
      <w:rPr>
        <w:rFonts w:ascii="Times New Roman" w:hAnsi="Times New Roman" w:cs="Times New Roman"/>
        <w:sz w:val="20"/>
        <w:szCs w:val="20"/>
        <w:lang w:val="sk-SK"/>
      </w:rPr>
      <w:tab/>
    </w:r>
    <w:r>
      <w:rPr>
        <w:rFonts w:ascii="Times New Roman" w:hAnsi="Times New Roman" w:cs="Times New Roman"/>
        <w:sz w:val="20"/>
        <w:szCs w:val="20"/>
        <w:lang w:val="sk-SK"/>
      </w:rPr>
      <w:tab/>
    </w:r>
    <w:r w:rsidR="00A2635B">
      <w:rPr>
        <w:rFonts w:ascii="Times New Roman" w:hAnsi="Times New Roman" w:cs="Times New Roman"/>
        <w:sz w:val="20"/>
        <w:szCs w:val="20"/>
        <w:lang w:val="sk-SK"/>
      </w:rPr>
      <w:t>Výzva</w:t>
    </w:r>
    <w:r w:rsidR="00B51171" w:rsidRPr="00017B30">
      <w:rPr>
        <w:rFonts w:ascii="Times New Roman" w:hAnsi="Times New Roman" w:cs="Times New Roman"/>
        <w:sz w:val="20"/>
        <w:szCs w:val="20"/>
        <w:lang w:val="sk-SK"/>
      </w:rPr>
      <w:t xml:space="preserve"> 20</w:t>
    </w:r>
    <w:r w:rsidR="00B51171">
      <w:rPr>
        <w:rFonts w:ascii="Times New Roman" w:hAnsi="Times New Roman" w:cs="Times New Roman"/>
        <w:sz w:val="20"/>
        <w:szCs w:val="20"/>
        <w:lang w:val="sk-SK"/>
      </w:rPr>
      <w:t>2</w:t>
    </w:r>
    <w:r>
      <w:rPr>
        <w:rFonts w:ascii="Times New Roman" w:hAnsi="Times New Roman" w:cs="Times New Roman"/>
        <w:sz w:val="20"/>
        <w:szCs w:val="20"/>
        <w:lang w:val="sk-SK"/>
      </w:rPr>
      <w:t>5</w:t>
    </w:r>
  </w:p>
  <w:p w14:paraId="36291D18" w14:textId="02C4F783" w:rsidR="00B51171" w:rsidRPr="00017B30" w:rsidRDefault="00A2635B">
    <w:pPr>
      <w:pStyle w:val="Hlavika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KA131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5ADB"/>
    <w:multiLevelType w:val="multilevel"/>
    <w:tmpl w:val="A566C4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4AD68EB"/>
    <w:multiLevelType w:val="multilevel"/>
    <w:tmpl w:val="7C78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1248A"/>
    <w:multiLevelType w:val="hybridMultilevel"/>
    <w:tmpl w:val="2E96A212"/>
    <w:lvl w:ilvl="0" w:tplc="085E55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D4BAA"/>
    <w:multiLevelType w:val="hybridMultilevel"/>
    <w:tmpl w:val="3B62A4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A359D"/>
    <w:multiLevelType w:val="multilevel"/>
    <w:tmpl w:val="000AD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5D35BBE"/>
    <w:multiLevelType w:val="hybridMultilevel"/>
    <w:tmpl w:val="B1CEB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C12CE"/>
    <w:multiLevelType w:val="hybridMultilevel"/>
    <w:tmpl w:val="15663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F580A"/>
    <w:multiLevelType w:val="multilevel"/>
    <w:tmpl w:val="9C2E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9667055">
    <w:abstractNumId w:val="3"/>
  </w:num>
  <w:num w:numId="2" w16cid:durableId="216209862">
    <w:abstractNumId w:val="0"/>
  </w:num>
  <w:num w:numId="3" w16cid:durableId="1473669534">
    <w:abstractNumId w:val="6"/>
  </w:num>
  <w:num w:numId="4" w16cid:durableId="1427267542">
    <w:abstractNumId w:val="5"/>
  </w:num>
  <w:num w:numId="5" w16cid:durableId="1612666855">
    <w:abstractNumId w:val="2"/>
  </w:num>
  <w:num w:numId="6" w16cid:durableId="491288926">
    <w:abstractNumId w:val="4"/>
  </w:num>
  <w:num w:numId="7" w16cid:durableId="1344744143">
    <w:abstractNumId w:val="7"/>
  </w:num>
  <w:num w:numId="8" w16cid:durableId="146630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9A01BC"/>
    <w:rsid w:val="00000453"/>
    <w:rsid w:val="00017B30"/>
    <w:rsid w:val="00024584"/>
    <w:rsid w:val="000339E8"/>
    <w:rsid w:val="000748A3"/>
    <w:rsid w:val="00096D1D"/>
    <w:rsid w:val="000A22A5"/>
    <w:rsid w:val="000A7D6A"/>
    <w:rsid w:val="000C076A"/>
    <w:rsid w:val="000D12BB"/>
    <w:rsid w:val="000D504E"/>
    <w:rsid w:val="000E1836"/>
    <w:rsid w:val="00107B64"/>
    <w:rsid w:val="0011705C"/>
    <w:rsid w:val="0013140E"/>
    <w:rsid w:val="001352E4"/>
    <w:rsid w:val="001402A9"/>
    <w:rsid w:val="0015587C"/>
    <w:rsid w:val="00173F7A"/>
    <w:rsid w:val="001911F2"/>
    <w:rsid w:val="001A0062"/>
    <w:rsid w:val="001A4FC5"/>
    <w:rsid w:val="001A61D0"/>
    <w:rsid w:val="001B2013"/>
    <w:rsid w:val="001B4C5D"/>
    <w:rsid w:val="001B5CF7"/>
    <w:rsid w:val="001D475D"/>
    <w:rsid w:val="00290ABC"/>
    <w:rsid w:val="00292701"/>
    <w:rsid w:val="00297001"/>
    <w:rsid w:val="002A21A6"/>
    <w:rsid w:val="002A3C93"/>
    <w:rsid w:val="002A6C2A"/>
    <w:rsid w:val="002A7F78"/>
    <w:rsid w:val="002B5B2C"/>
    <w:rsid w:val="002C3450"/>
    <w:rsid w:val="002D5C0C"/>
    <w:rsid w:val="002E789F"/>
    <w:rsid w:val="002F5722"/>
    <w:rsid w:val="002F759A"/>
    <w:rsid w:val="003154BE"/>
    <w:rsid w:val="0031700C"/>
    <w:rsid w:val="00317966"/>
    <w:rsid w:val="00340705"/>
    <w:rsid w:val="00362D9B"/>
    <w:rsid w:val="00366077"/>
    <w:rsid w:val="003672DD"/>
    <w:rsid w:val="003748A8"/>
    <w:rsid w:val="003877EC"/>
    <w:rsid w:val="003925B4"/>
    <w:rsid w:val="003A3EC2"/>
    <w:rsid w:val="003B3BB7"/>
    <w:rsid w:val="003C6D68"/>
    <w:rsid w:val="003E0B17"/>
    <w:rsid w:val="003E3FCC"/>
    <w:rsid w:val="003E6F56"/>
    <w:rsid w:val="004065B8"/>
    <w:rsid w:val="004125E7"/>
    <w:rsid w:val="00430D12"/>
    <w:rsid w:val="004318EB"/>
    <w:rsid w:val="0044409D"/>
    <w:rsid w:val="004516B7"/>
    <w:rsid w:val="00470F52"/>
    <w:rsid w:val="0047603D"/>
    <w:rsid w:val="004B15CD"/>
    <w:rsid w:val="004C6A6D"/>
    <w:rsid w:val="004C7798"/>
    <w:rsid w:val="00512198"/>
    <w:rsid w:val="005410DA"/>
    <w:rsid w:val="00542D5F"/>
    <w:rsid w:val="00560BF2"/>
    <w:rsid w:val="005718C6"/>
    <w:rsid w:val="00583BC1"/>
    <w:rsid w:val="005862A9"/>
    <w:rsid w:val="00586FCF"/>
    <w:rsid w:val="00587C0B"/>
    <w:rsid w:val="005A1CBB"/>
    <w:rsid w:val="005A46DF"/>
    <w:rsid w:val="005B3867"/>
    <w:rsid w:val="005C4DEF"/>
    <w:rsid w:val="005D46B8"/>
    <w:rsid w:val="005E1132"/>
    <w:rsid w:val="005E38F2"/>
    <w:rsid w:val="005F7F0E"/>
    <w:rsid w:val="006133A8"/>
    <w:rsid w:val="00632A2A"/>
    <w:rsid w:val="006765A8"/>
    <w:rsid w:val="00687C8F"/>
    <w:rsid w:val="00694DD4"/>
    <w:rsid w:val="006D1AF1"/>
    <w:rsid w:val="006D74F7"/>
    <w:rsid w:val="0070123A"/>
    <w:rsid w:val="00717017"/>
    <w:rsid w:val="0072048B"/>
    <w:rsid w:val="00731DE4"/>
    <w:rsid w:val="007443FC"/>
    <w:rsid w:val="007802D8"/>
    <w:rsid w:val="007C1BA3"/>
    <w:rsid w:val="007E440F"/>
    <w:rsid w:val="007E5F21"/>
    <w:rsid w:val="007F1E8D"/>
    <w:rsid w:val="00802896"/>
    <w:rsid w:val="008035E0"/>
    <w:rsid w:val="00816551"/>
    <w:rsid w:val="00850120"/>
    <w:rsid w:val="008517EE"/>
    <w:rsid w:val="00866095"/>
    <w:rsid w:val="00887703"/>
    <w:rsid w:val="0089031E"/>
    <w:rsid w:val="0089063F"/>
    <w:rsid w:val="008916BE"/>
    <w:rsid w:val="008A515A"/>
    <w:rsid w:val="008C15A5"/>
    <w:rsid w:val="008C67F0"/>
    <w:rsid w:val="008C7098"/>
    <w:rsid w:val="008D2E1F"/>
    <w:rsid w:val="008D47F5"/>
    <w:rsid w:val="008D67EB"/>
    <w:rsid w:val="008E179D"/>
    <w:rsid w:val="00931EA4"/>
    <w:rsid w:val="00941A79"/>
    <w:rsid w:val="00946507"/>
    <w:rsid w:val="009546DD"/>
    <w:rsid w:val="009632EE"/>
    <w:rsid w:val="00970744"/>
    <w:rsid w:val="0097084E"/>
    <w:rsid w:val="009723B4"/>
    <w:rsid w:val="00997EB1"/>
    <w:rsid w:val="009A01BC"/>
    <w:rsid w:val="009B60E9"/>
    <w:rsid w:val="009D6416"/>
    <w:rsid w:val="009E1DA8"/>
    <w:rsid w:val="009F1623"/>
    <w:rsid w:val="00A2635B"/>
    <w:rsid w:val="00A40E66"/>
    <w:rsid w:val="00A91261"/>
    <w:rsid w:val="00AC3DA2"/>
    <w:rsid w:val="00AC7DF2"/>
    <w:rsid w:val="00AD0FB8"/>
    <w:rsid w:val="00AD54C5"/>
    <w:rsid w:val="00B03863"/>
    <w:rsid w:val="00B14673"/>
    <w:rsid w:val="00B51171"/>
    <w:rsid w:val="00B55CC3"/>
    <w:rsid w:val="00B705A9"/>
    <w:rsid w:val="00B716A6"/>
    <w:rsid w:val="00B74703"/>
    <w:rsid w:val="00B80615"/>
    <w:rsid w:val="00B82876"/>
    <w:rsid w:val="00BA2A3E"/>
    <w:rsid w:val="00BB4C4B"/>
    <w:rsid w:val="00BB6A60"/>
    <w:rsid w:val="00BC496D"/>
    <w:rsid w:val="00BF6AC8"/>
    <w:rsid w:val="00C03038"/>
    <w:rsid w:val="00C038CA"/>
    <w:rsid w:val="00C16220"/>
    <w:rsid w:val="00C57F52"/>
    <w:rsid w:val="00C85819"/>
    <w:rsid w:val="00C94E98"/>
    <w:rsid w:val="00C97B7A"/>
    <w:rsid w:val="00CC0601"/>
    <w:rsid w:val="00CC607C"/>
    <w:rsid w:val="00CE29C9"/>
    <w:rsid w:val="00D063EC"/>
    <w:rsid w:val="00D06F09"/>
    <w:rsid w:val="00D11D15"/>
    <w:rsid w:val="00D16EFE"/>
    <w:rsid w:val="00D209A4"/>
    <w:rsid w:val="00D321AA"/>
    <w:rsid w:val="00D376A9"/>
    <w:rsid w:val="00D60AE3"/>
    <w:rsid w:val="00D81BE6"/>
    <w:rsid w:val="00D96B1A"/>
    <w:rsid w:val="00DA3DB6"/>
    <w:rsid w:val="00DA782E"/>
    <w:rsid w:val="00DA7CBB"/>
    <w:rsid w:val="00DC2B30"/>
    <w:rsid w:val="00DD54B8"/>
    <w:rsid w:val="00DE37ED"/>
    <w:rsid w:val="00DE439A"/>
    <w:rsid w:val="00E1273B"/>
    <w:rsid w:val="00E24ABE"/>
    <w:rsid w:val="00E32997"/>
    <w:rsid w:val="00E45E2E"/>
    <w:rsid w:val="00E61B4E"/>
    <w:rsid w:val="00E7302F"/>
    <w:rsid w:val="00E84DA8"/>
    <w:rsid w:val="00E9310A"/>
    <w:rsid w:val="00E94434"/>
    <w:rsid w:val="00EA2DF1"/>
    <w:rsid w:val="00EB2EF0"/>
    <w:rsid w:val="00EC0364"/>
    <w:rsid w:val="00ED109A"/>
    <w:rsid w:val="00ED2FED"/>
    <w:rsid w:val="00EE44CE"/>
    <w:rsid w:val="00EE7DAE"/>
    <w:rsid w:val="00F04D88"/>
    <w:rsid w:val="00F06229"/>
    <w:rsid w:val="00F16587"/>
    <w:rsid w:val="00F16BDB"/>
    <w:rsid w:val="00F307AD"/>
    <w:rsid w:val="00F44B3E"/>
    <w:rsid w:val="00F50C7D"/>
    <w:rsid w:val="00F555F7"/>
    <w:rsid w:val="00F60CC2"/>
    <w:rsid w:val="00F703C1"/>
    <w:rsid w:val="00F70D75"/>
    <w:rsid w:val="00F75D56"/>
    <w:rsid w:val="00FA4D69"/>
    <w:rsid w:val="00FB625F"/>
    <w:rsid w:val="00FC4D2E"/>
    <w:rsid w:val="00FC6479"/>
    <w:rsid w:val="00FD7BA8"/>
    <w:rsid w:val="00FE06AF"/>
    <w:rsid w:val="00FE434E"/>
    <w:rsid w:val="00FF3B4C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1CB86A"/>
  <w15:docId w15:val="{6C12118E-DA97-49F3-B0D0-06A54516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31E"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41A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D0F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E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439A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17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17B30"/>
  </w:style>
  <w:style w:type="paragraph" w:styleId="Pta">
    <w:name w:val="footer"/>
    <w:basedOn w:val="Normlny"/>
    <w:link w:val="PtaChar"/>
    <w:uiPriority w:val="99"/>
    <w:unhideWhenUsed/>
    <w:rsid w:val="00017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17B30"/>
  </w:style>
  <w:style w:type="paragraph" w:styleId="Odsekzoznamu">
    <w:name w:val="List Paragraph"/>
    <w:basedOn w:val="Normlny"/>
    <w:uiPriority w:val="34"/>
    <w:qFormat/>
    <w:rsid w:val="004B15C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A3D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A3DB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A3DB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3D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3DB6"/>
    <w:rPr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1B5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FA4D69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717017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17017"/>
    <w:rPr>
      <w:color w:val="605E5C"/>
      <w:shd w:val="clear" w:color="auto" w:fill="E1DFDD"/>
    </w:rPr>
  </w:style>
  <w:style w:type="paragraph" w:customStyle="1" w:styleId="Annex">
    <w:name w:val="Annex"/>
    <w:basedOn w:val="Nadpis6"/>
    <w:qFormat/>
    <w:rsid w:val="00AD0FB8"/>
    <w:pPr>
      <w:spacing w:before="200" w:after="200" w:line="240" w:lineRule="auto"/>
      <w:ind w:left="1797" w:hanging="1797"/>
      <w:jc w:val="right"/>
    </w:pPr>
    <w:rPr>
      <w:rFonts w:ascii="Times New Roman" w:eastAsia="Times New Roman" w:hAnsi="Times New Roman"/>
      <w:b/>
      <w:iCs/>
      <w:color w:val="000000"/>
      <w:sz w:val="24"/>
      <w:szCs w:val="28"/>
      <w:u w:val="single"/>
      <w:lang w:val="sk-SK" w:eastAsia="en-GB"/>
    </w:rPr>
  </w:style>
  <w:style w:type="table" w:customStyle="1" w:styleId="TableGrid4">
    <w:name w:val="Table Grid4"/>
    <w:basedOn w:val="Normlnatabuka"/>
    <w:next w:val="Mriekatabuky"/>
    <w:uiPriority w:val="59"/>
    <w:rsid w:val="00AD0FB8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Predvolenpsmoodseku"/>
    <w:link w:val="Nadpis6"/>
    <w:uiPriority w:val="9"/>
    <w:semiHidden/>
    <w:rsid w:val="00AD0FB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41A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Vrazn">
    <w:name w:val="Strong"/>
    <w:basedOn w:val="Predvolenpsmoodseku"/>
    <w:uiPriority w:val="22"/>
    <w:qFormat/>
    <w:rsid w:val="008D2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generation.org/grant-simulat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68AEA-B3AF-413D-A642-BEF9CE3D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5133</Characters>
  <Application>Microsoft Office Word</Application>
  <DocSecurity>0</DocSecurity>
  <Lines>42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ARROYO Jose Manuel (EAC)</dc:creator>
  <cp:lastModifiedBy>Matejovičová Filipová Eva</cp:lastModifiedBy>
  <cp:revision>2</cp:revision>
  <cp:lastPrinted>2016-06-08T13:23:00Z</cp:lastPrinted>
  <dcterms:created xsi:type="dcterms:W3CDTF">2025-06-06T12:12:00Z</dcterms:created>
  <dcterms:modified xsi:type="dcterms:W3CDTF">2025-06-06T12:12:00Z</dcterms:modified>
</cp:coreProperties>
</file>