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1D3C90">
        <w:trPr>
          <w:jc w:val="center"/>
        </w:trPr>
        <w:tc>
          <w:tcPr>
            <w:tcW w:w="2436" w:type="dxa"/>
          </w:tcPr>
          <w:bookmarkStart w:id="0" w:name="_MON_1146392510"/>
          <w:bookmarkStart w:id="1" w:name="_MON_1146392662"/>
          <w:bookmarkEnd w:id="0"/>
          <w:bookmarkEnd w:id="1"/>
          <w:bookmarkStart w:id="2" w:name="_MON_1011181764"/>
          <w:bookmarkEnd w:id="2"/>
          <w:p w:rsidR="00325EA9" w:rsidRPr="001D3C90" w:rsidRDefault="003033E9">
            <w:pPr>
              <w:rPr>
                <w:color w:val="FF0000"/>
                <w:sz w:val="22"/>
              </w:rPr>
            </w:pPr>
            <w:r w:rsidRPr="001D3C90">
              <w:rPr>
                <w:color w:val="FF0000"/>
                <w:sz w:val="22"/>
              </w:rPr>
              <w:object w:dxaOrig="2221" w:dyaOrig="21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617079501" r:id="rId9"/>
              </w:object>
            </w: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    </w:t>
            </w:r>
          </w:p>
          <w:p w:rsidR="00325EA9" w:rsidRPr="00AB63E7" w:rsidRDefault="003033E9">
            <w:pPr>
              <w:pStyle w:val="Nadpis1"/>
              <w:jc w:val="left"/>
              <w:rPr>
                <w:rFonts w:ascii="Calibri" w:hAnsi="Calibri"/>
                <w:i/>
                <w:color w:val="000000" w:themeColor="text1"/>
                <w:szCs w:val="40"/>
              </w:rPr>
            </w:pPr>
            <w:r w:rsidRPr="001D3C90">
              <w:rPr>
                <w:rFonts w:ascii="Calibri" w:hAnsi="Calibri"/>
                <w:i/>
                <w:color w:val="FF0000"/>
                <w:szCs w:val="40"/>
              </w:rPr>
              <w:t xml:space="preserve">           </w:t>
            </w:r>
            <w:r w:rsidR="00325EA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Trnavská univerzita </w:t>
            </w:r>
          </w:p>
          <w:p w:rsidR="00325EA9" w:rsidRPr="001D3C90" w:rsidRDefault="00325EA9">
            <w:pPr>
              <w:pStyle w:val="Nadpis1"/>
              <w:jc w:val="left"/>
              <w:rPr>
                <w:color w:val="FF0000"/>
                <w:sz w:val="32"/>
              </w:rPr>
            </w:pP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</w:t>
            </w:r>
            <w:r w:rsidR="003033E9" w:rsidRPr="00AB63E7">
              <w:rPr>
                <w:rFonts w:ascii="Calibri" w:hAnsi="Calibri"/>
                <w:i/>
                <w:color w:val="000000" w:themeColor="text1"/>
                <w:szCs w:val="40"/>
              </w:rPr>
              <w:t xml:space="preserve">             </w:t>
            </w:r>
            <w:r w:rsidRPr="00AB63E7">
              <w:rPr>
                <w:rFonts w:ascii="Calibri" w:hAnsi="Calibri"/>
                <w:i/>
                <w:color w:val="000000" w:themeColor="text1"/>
                <w:szCs w:val="40"/>
              </w:rPr>
              <w:t>v Trnave</w:t>
            </w:r>
            <w:r w:rsidRPr="00AB63E7">
              <w:rPr>
                <w:rFonts w:ascii="Calibri" w:hAnsi="Calibr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1D3C90">
        <w:trPr>
          <w:jc w:val="center"/>
        </w:trPr>
        <w:tc>
          <w:tcPr>
            <w:tcW w:w="2436" w:type="dxa"/>
          </w:tcPr>
          <w:p w:rsidR="003033E9" w:rsidRPr="001D3C90" w:rsidRDefault="003033E9">
            <w:pPr>
              <w:rPr>
                <w:color w:val="FF0000"/>
                <w:sz w:val="22"/>
              </w:rPr>
            </w:pPr>
          </w:p>
        </w:tc>
        <w:tc>
          <w:tcPr>
            <w:tcW w:w="5554" w:type="dxa"/>
          </w:tcPr>
          <w:p w:rsidR="003033E9" w:rsidRPr="001D3C90" w:rsidRDefault="003033E9">
            <w:pPr>
              <w:pStyle w:val="Nadpis1"/>
              <w:jc w:val="left"/>
              <w:rPr>
                <w:rFonts w:ascii="Calibri" w:hAnsi="Calibri"/>
                <w:i/>
                <w:color w:val="FF0000"/>
                <w:szCs w:val="40"/>
              </w:rPr>
            </w:pPr>
          </w:p>
        </w:tc>
      </w:tr>
    </w:tbl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2B1335" w:rsidRPr="001D3C90" w:rsidRDefault="002B1335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b/>
          <w:color w:val="FF0000"/>
          <w:sz w:val="56"/>
        </w:rPr>
      </w:pP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:rsidR="0080221E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 xml:space="preserve">Trnavskej univerzity v Trnave </w:t>
      </w:r>
    </w:p>
    <w:p w:rsidR="00325EA9" w:rsidRPr="00AB63E7" w:rsidRDefault="00325EA9">
      <w:pPr>
        <w:jc w:val="center"/>
        <w:rPr>
          <w:rFonts w:ascii="Calibri" w:hAnsi="Calibri"/>
          <w:b/>
          <w:i/>
          <w:color w:val="000000" w:themeColor="text1"/>
          <w:sz w:val="48"/>
          <w:szCs w:val="48"/>
        </w:rPr>
      </w:pPr>
      <w:r w:rsidRPr="00AB63E7">
        <w:rPr>
          <w:rFonts w:ascii="Calibri" w:hAnsi="Calibri"/>
          <w:b/>
          <w:i/>
          <w:color w:val="000000" w:themeColor="text1"/>
          <w:sz w:val="48"/>
          <w:szCs w:val="48"/>
        </w:rPr>
        <w:t>za rok 20</w:t>
      </w:r>
      <w:r w:rsidR="002C486D" w:rsidRPr="00AB63E7">
        <w:rPr>
          <w:rFonts w:ascii="Calibri" w:hAnsi="Calibri"/>
          <w:b/>
          <w:i/>
          <w:color w:val="000000" w:themeColor="text1"/>
          <w:sz w:val="48"/>
          <w:szCs w:val="48"/>
        </w:rPr>
        <w:t>1</w:t>
      </w:r>
      <w:r w:rsidR="00CD2076">
        <w:rPr>
          <w:rFonts w:ascii="Calibri" w:hAnsi="Calibri"/>
          <w:b/>
          <w:i/>
          <w:color w:val="000000" w:themeColor="text1"/>
          <w:sz w:val="48"/>
          <w:szCs w:val="48"/>
        </w:rPr>
        <w:t>8</w:t>
      </w:r>
    </w:p>
    <w:p w:rsidR="008A28DA" w:rsidRPr="001D3C90" w:rsidRDefault="008A28DA">
      <w:pPr>
        <w:jc w:val="center"/>
        <w:rPr>
          <w:b/>
          <w:color w:val="FF0000"/>
          <w:sz w:val="56"/>
        </w:rPr>
      </w:pPr>
    </w:p>
    <w:p w:rsidR="00325EA9" w:rsidRPr="001D3C90" w:rsidRDefault="00325EA9">
      <w:pPr>
        <w:rPr>
          <w:color w:val="FF0000"/>
        </w:rPr>
      </w:pPr>
    </w:p>
    <w:p w:rsidR="00FF1D0E" w:rsidRPr="001D3C90" w:rsidRDefault="00FF1D0E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FF1D0E" w:rsidRPr="001D3C90" w:rsidRDefault="00FF1D0E">
      <w:pPr>
        <w:rPr>
          <w:color w:val="FF0000"/>
          <w:sz w:val="24"/>
        </w:rPr>
      </w:pPr>
    </w:p>
    <w:p w:rsidR="00325EA9" w:rsidRPr="001D3C90" w:rsidRDefault="00325EA9">
      <w:pPr>
        <w:rPr>
          <w:color w:val="FF0000"/>
          <w:sz w:val="24"/>
        </w:rPr>
      </w:pPr>
    </w:p>
    <w:p w:rsidR="00325EA9" w:rsidRPr="00AB63E7" w:rsidRDefault="00325EA9">
      <w:pPr>
        <w:jc w:val="center"/>
        <w:rPr>
          <w:rFonts w:ascii="Calibri" w:hAnsi="Calibri"/>
          <w:color w:val="000000" w:themeColor="text1"/>
          <w:sz w:val="24"/>
        </w:rPr>
      </w:pPr>
      <w:r w:rsidRPr="00AB63E7">
        <w:rPr>
          <w:rFonts w:ascii="Calibri" w:hAnsi="Calibri"/>
          <w:color w:val="000000" w:themeColor="text1"/>
          <w:sz w:val="24"/>
        </w:rPr>
        <w:t>Trnava</w:t>
      </w:r>
    </w:p>
    <w:p w:rsidR="00325EA9" w:rsidRPr="00C41FA4" w:rsidRDefault="00AB6D82">
      <w:pPr>
        <w:jc w:val="center"/>
        <w:rPr>
          <w:rFonts w:ascii="Calibri" w:hAnsi="Calibri"/>
          <w:color w:val="000000" w:themeColor="text1"/>
          <w:sz w:val="24"/>
        </w:rPr>
      </w:pPr>
      <w:r w:rsidRPr="004A4BC4">
        <w:rPr>
          <w:rFonts w:ascii="Calibri" w:hAnsi="Calibri"/>
          <w:color w:val="000000" w:themeColor="text1"/>
          <w:sz w:val="24"/>
        </w:rPr>
        <w:t>máj</w:t>
      </w:r>
      <w:r w:rsidR="007F5900" w:rsidRPr="004A4BC4">
        <w:rPr>
          <w:rFonts w:ascii="Calibri" w:hAnsi="Calibri"/>
          <w:color w:val="000000" w:themeColor="text1"/>
          <w:sz w:val="24"/>
        </w:rPr>
        <w:t xml:space="preserve"> 201</w:t>
      </w:r>
      <w:r w:rsidR="00CD2076" w:rsidRPr="004A4BC4">
        <w:rPr>
          <w:rFonts w:ascii="Calibri" w:hAnsi="Calibri"/>
          <w:color w:val="000000" w:themeColor="text1"/>
          <w:sz w:val="24"/>
        </w:rPr>
        <w:t>9</w:t>
      </w:r>
    </w:p>
    <w:p w:rsidR="00325EA9" w:rsidRPr="00484802" w:rsidRDefault="00710301" w:rsidP="00CB0B89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484802">
        <w:rPr>
          <w:rFonts w:asciiTheme="minorHAnsi" w:hAnsiTheme="minorHAnsi" w:cs="Arial"/>
          <w:b/>
          <w:sz w:val="22"/>
          <w:szCs w:val="22"/>
        </w:rPr>
        <w:lastRenderedPageBreak/>
        <w:t>OBSAH</w:t>
      </w:r>
    </w:p>
    <w:p w:rsidR="00710301" w:rsidRPr="00484802" w:rsidRDefault="00710301" w:rsidP="007E3286">
      <w:pPr>
        <w:rPr>
          <w:rFonts w:asciiTheme="minorHAnsi" w:hAnsiTheme="minorHAnsi" w:cs="Arial"/>
          <w:b/>
          <w:i/>
          <w:sz w:val="22"/>
          <w:szCs w:val="22"/>
        </w:rPr>
      </w:pPr>
    </w:p>
    <w:p w:rsidR="00325EA9" w:rsidRPr="00484802" w:rsidRDefault="00325EA9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Textová časť</w:t>
      </w:r>
    </w:p>
    <w:p w:rsidR="00710301" w:rsidRPr="00484802" w:rsidRDefault="00710301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CF3991" w:rsidRPr="00484802" w:rsidRDefault="00CF3991" w:rsidP="007E3286">
      <w:pPr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484802" w:rsidRDefault="00325EA9" w:rsidP="00710301">
      <w:pPr>
        <w:ind w:left="709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Základné údaje o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univerzite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DC0878" w:rsidRPr="00484802">
        <w:rPr>
          <w:rFonts w:asciiTheme="minorHAnsi" w:hAnsiTheme="minorHAnsi" w:cs="Arial"/>
          <w:color w:val="000000" w:themeColor="text1"/>
          <w:sz w:val="22"/>
          <w:szCs w:val="22"/>
        </w:rPr>
        <w:t>5</w:t>
      </w:r>
    </w:p>
    <w:p w:rsidR="00710301" w:rsidRPr="00484802" w:rsidRDefault="0071030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75653" w:rsidRPr="00484802" w:rsidRDefault="00325EA9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1.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Ú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VOD</w:t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75653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</w:p>
    <w:p w:rsidR="00710301" w:rsidRPr="00484802" w:rsidRDefault="00710301" w:rsidP="007E3286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E2BB1" w:rsidRPr="00484802" w:rsidRDefault="00D75653" w:rsidP="007E3286">
      <w:pPr>
        <w:shd w:val="clear" w:color="auto" w:fill="FFFFFF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2.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A007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F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INANČNÉ  RIADENIE  A VÝVOJ  HOSPO</w:t>
      </w:r>
      <w:r w:rsidR="00CD2076">
        <w:rPr>
          <w:rFonts w:asciiTheme="minorHAnsi" w:hAnsiTheme="minorHAnsi" w:cs="Arial"/>
          <w:b/>
          <w:color w:val="000000" w:themeColor="text1"/>
          <w:sz w:val="22"/>
          <w:szCs w:val="22"/>
        </w:rPr>
        <w:t>DÁRENIA  UNIVERZITY  V ROKU 2018</w:t>
      </w:r>
      <w:r w:rsidR="003033E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C0878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2.1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Finančné riadenie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C0878" w:rsidRP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7506EC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2.2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Zdroje financovania univerzity</w:t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65C22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14518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 </w:t>
      </w:r>
      <w:r w:rsidR="00710301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</w:t>
      </w:r>
      <w:r w:rsidR="00DC0878" w:rsidRP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5E2BB1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2.3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Hospodárenie s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>dotáciami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Ľudské zdroje – personálna a mzdová politika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7506EC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2.4.1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Zdroje vyčlenené na mzdy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  </w:t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7506EC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2.4.2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Čerpanie mzdových prostriedkov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12B5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12B51">
        <w:rPr>
          <w:rFonts w:asciiTheme="minorHAnsi" w:hAnsiTheme="minorHAnsi" w:cs="Arial"/>
          <w:color w:val="000000" w:themeColor="text1"/>
          <w:sz w:val="22"/>
          <w:szCs w:val="22"/>
        </w:rPr>
        <w:t>10</w:t>
      </w:r>
    </w:p>
    <w:p w:rsidR="00835CE5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2.5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Financovanie prevádzkových činností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E7C10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Majetok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13</w:t>
      </w:r>
    </w:p>
    <w:p w:rsidR="005E2BB1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2.7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Investičné zámery univerzity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14</w:t>
      </w:r>
    </w:p>
    <w:p w:rsidR="005E2BB1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2D1913" w:rsidRP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Financovanie 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prevádzky a rozvoja </w:t>
      </w:r>
      <w:r w:rsidR="00C05F14" w:rsidRPr="00484802">
        <w:rPr>
          <w:rFonts w:asciiTheme="minorHAnsi" w:hAnsiTheme="minorHAnsi" w:cs="Arial"/>
          <w:color w:val="000000" w:themeColor="text1"/>
          <w:sz w:val="22"/>
          <w:szCs w:val="22"/>
        </w:rPr>
        <w:t>informačných systémov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, informačných a komunikačných technológií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6</w:t>
      </w:r>
    </w:p>
    <w:p w:rsidR="005E2BB1" w:rsidRPr="00484802" w:rsidRDefault="007506EC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</w:t>
      </w:r>
      <w:r w:rsidR="002D1913" w:rsidRP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Financovanie sociálnej podpory študentov a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>zamestnancov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7506EC" w:rsidRPr="00484802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2.9</w:t>
      </w:r>
      <w:r w:rsidR="007506EC" w:rsidRPr="00484802">
        <w:rPr>
          <w:rFonts w:asciiTheme="minorHAnsi" w:hAnsiTheme="minorHAnsi" w:cs="Arial"/>
          <w:color w:val="000000" w:themeColor="text1"/>
          <w:sz w:val="22"/>
          <w:szCs w:val="22"/>
        </w:rPr>
        <w:t>.1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A0102F" w:rsidRPr="00484802">
        <w:rPr>
          <w:rFonts w:asciiTheme="minorHAnsi" w:hAnsiTheme="minorHAnsi" w:cs="Arial"/>
          <w:color w:val="000000" w:themeColor="text1"/>
          <w:sz w:val="22"/>
          <w:szCs w:val="22"/>
        </w:rPr>
        <w:t>Stravovanie študentov a zamestnancov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7</w:t>
      </w:r>
    </w:p>
    <w:p w:rsidR="00A0102F" w:rsidRPr="00484802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2.9</w:t>
      </w:r>
      <w:r w:rsidR="00A0102F" w:rsidRPr="00484802">
        <w:rPr>
          <w:rFonts w:asciiTheme="minorHAnsi" w:hAnsiTheme="minorHAnsi" w:cs="Arial"/>
          <w:color w:val="000000" w:themeColor="text1"/>
          <w:sz w:val="22"/>
          <w:szCs w:val="22"/>
        </w:rPr>
        <w:t>.2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A0102F" w:rsidRPr="00484802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184BF7" w:rsidRPr="00484802" w:rsidRDefault="002D1913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2.10</w:t>
      </w:r>
      <w:r w:rsidR="00184BF7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  <w:t>Centrum ďalšieho vzdelávania</w:t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C70FD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72CE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184BF7" w:rsidRPr="00484802" w:rsidRDefault="005E2BB1" w:rsidP="007E3286">
      <w:pPr>
        <w:shd w:val="clear" w:color="auto" w:fill="FFFFFF"/>
        <w:ind w:left="1418" w:hanging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2.1</w:t>
      </w:r>
      <w:r w:rsidR="002D1913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Vnútorná legislatíva univerzity pre oblasť hospodárenia</w:t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835CE5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9</w:t>
      </w:r>
    </w:p>
    <w:p w:rsidR="009303C1" w:rsidRPr="00484802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25EA9" w:rsidRPr="00484802" w:rsidRDefault="00D75653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3.</w:t>
      </w:r>
      <w:r w:rsidR="0004610F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04610F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OČNÁ  ÚČTOVNÁ  ZÁVIERKA</w:t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9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Súvaha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Výkaz ziskov a strát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.3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oznámky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k účtovnej závierke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.4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Rozbor hospodárskeho výsledku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CC7783">
        <w:rPr>
          <w:rFonts w:asciiTheme="minorHAnsi" w:hAnsiTheme="minorHAnsi" w:cs="Arial"/>
          <w:color w:val="000000" w:themeColor="text1"/>
          <w:sz w:val="22"/>
          <w:szCs w:val="22"/>
        </w:rPr>
        <w:t>0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.4.1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484802">
        <w:rPr>
          <w:rFonts w:asciiTheme="minorHAnsi" w:hAnsiTheme="minorHAnsi" w:cs="Arial"/>
          <w:color w:val="000000" w:themeColor="text1"/>
          <w:sz w:val="22"/>
          <w:szCs w:val="22"/>
        </w:rPr>
        <w:t>Hlavná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činnosť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   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.4.2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65B4A" w:rsidRPr="00484802">
        <w:rPr>
          <w:rFonts w:asciiTheme="minorHAnsi" w:hAnsiTheme="minorHAnsi" w:cs="Arial"/>
          <w:color w:val="000000" w:themeColor="text1"/>
          <w:sz w:val="22"/>
          <w:szCs w:val="22"/>
        </w:rPr>
        <w:t>Podnikateľská</w:t>
      </w:r>
      <w:r w:rsidR="00C12B4E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činnosť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1</w:t>
      </w:r>
    </w:p>
    <w:p w:rsidR="009303C1" w:rsidRPr="00484802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484802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4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A</w:t>
      </w:r>
      <w:r w:rsidR="00891BA4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NALÝZA  VÝNOSOV  A</w:t>
      </w:r>
      <w:r w:rsidR="00C12B4E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 </w:t>
      </w:r>
      <w:r w:rsidR="00653C8B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NÁKLADOV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výnosov</w:t>
      </w:r>
      <w:r w:rsidR="0071030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DB27D4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výnosov</w:t>
      </w:r>
      <w:r w:rsidR="00F863E5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C12B4E" w:rsidRPr="0048480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C12B4E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>činnosti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      </w:t>
      </w:r>
      <w:r w:rsidR="00DB27D4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194E14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.1.2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výnosov z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194E14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</w:p>
    <w:p w:rsidR="00325EA9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690BEA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.2.1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9E6E23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z 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</w:t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48480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690BEA" w:rsidRPr="00484802" w:rsidRDefault="00F2165F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.2.2 </w:t>
      </w:r>
      <w:r w:rsidR="005E2BB1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Analýza nákladov</w:t>
      </w:r>
      <w:r w:rsidR="009E6E23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9D08B4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="00690BEA" w:rsidRPr="00484802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</w:t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D75653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E3286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441BB8" w:rsidRPr="00484802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color w:val="000000" w:themeColor="text1"/>
          <w:sz w:val="22"/>
          <w:szCs w:val="22"/>
        </w:rPr>
        <w:t>3</w:t>
      </w:r>
    </w:p>
    <w:p w:rsidR="009303C1" w:rsidRPr="00484802" w:rsidRDefault="009303C1" w:rsidP="007E3286">
      <w:pPr>
        <w:shd w:val="clear" w:color="auto" w:fill="FFFFFF"/>
        <w:ind w:left="1418" w:hanging="709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25EA9" w:rsidRPr="00484802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5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V</w:t>
      </w:r>
      <w:r w:rsidR="00CB0B8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ÝVOJ  FONDOV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033E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</w:p>
    <w:p w:rsidR="009303C1" w:rsidRPr="00484802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297195" w:rsidRPr="00484802" w:rsidRDefault="00F2165F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R</w:t>
      </w:r>
      <w:r w:rsidR="00CB0B8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EKAPITULÁCIA ZÚČTOVANIA  SO  ŠTÁTNYM  ROZPOČTOM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C70D12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b/>
          <w:color w:val="000000" w:themeColor="text1"/>
          <w:sz w:val="22"/>
          <w:szCs w:val="22"/>
        </w:rPr>
        <w:t>4</w:t>
      </w:r>
    </w:p>
    <w:p w:rsidR="009303C1" w:rsidRPr="00484802" w:rsidRDefault="009303C1" w:rsidP="007E3286">
      <w:pPr>
        <w:shd w:val="clear" w:color="auto" w:fill="FFFFFF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25EA9" w:rsidRPr="00484802" w:rsidRDefault="00F2165F" w:rsidP="007E3286">
      <w:pPr>
        <w:shd w:val="clear" w:color="auto" w:fill="FFFFFF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7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. </w:t>
      </w:r>
      <w:r w:rsidR="005E2BB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B854FB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ZÁVER</w:t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325EA9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710301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ab/>
      </w:r>
      <w:r w:rsidR="00D26BD0" w:rsidRPr="00484802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2A6F92">
        <w:rPr>
          <w:rFonts w:asciiTheme="minorHAnsi" w:hAnsiTheme="minorHAnsi" w:cs="Arial"/>
          <w:b/>
          <w:color w:val="000000" w:themeColor="text1"/>
          <w:sz w:val="22"/>
          <w:szCs w:val="22"/>
        </w:rPr>
        <w:t>5</w:t>
      </w:r>
    </w:p>
    <w:p w:rsidR="009303C1" w:rsidRPr="00484802" w:rsidRDefault="009303C1" w:rsidP="007E3286">
      <w:pPr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856ADB" w:rsidRPr="00484802" w:rsidRDefault="00856ADB" w:rsidP="007E3286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E124B4" w:rsidRPr="008E44A9" w:rsidRDefault="00E124B4" w:rsidP="007E3286">
      <w:pPr>
        <w:rPr>
          <w:rFonts w:asciiTheme="minorHAnsi" w:hAnsiTheme="minorHAnsi" w:cs="Arial"/>
          <w:b/>
          <w:i/>
          <w:sz w:val="22"/>
          <w:szCs w:val="22"/>
        </w:rPr>
      </w:pPr>
      <w:r w:rsidRPr="008E44A9">
        <w:rPr>
          <w:rFonts w:asciiTheme="minorHAnsi" w:hAnsiTheme="minorHAnsi" w:cs="Arial"/>
          <w:b/>
          <w:i/>
          <w:sz w:val="22"/>
          <w:szCs w:val="22"/>
        </w:rPr>
        <w:lastRenderedPageBreak/>
        <w:t>Tabuľková časť s</w:t>
      </w:r>
      <w:r w:rsidR="00F3124C" w:rsidRPr="008E44A9">
        <w:rPr>
          <w:rFonts w:asciiTheme="minorHAnsi" w:hAnsiTheme="minorHAnsi" w:cs="Arial"/>
          <w:b/>
          <w:i/>
          <w:sz w:val="22"/>
          <w:szCs w:val="22"/>
        </w:rPr>
        <w:t> </w:t>
      </w:r>
      <w:r w:rsidRPr="008E44A9">
        <w:rPr>
          <w:rFonts w:asciiTheme="minorHAnsi" w:hAnsiTheme="minorHAnsi" w:cs="Arial"/>
          <w:b/>
          <w:i/>
          <w:sz w:val="22"/>
          <w:szCs w:val="22"/>
        </w:rPr>
        <w:t>komentárom</w:t>
      </w:r>
      <w:r w:rsidR="00F3124C" w:rsidRPr="008E44A9">
        <w:rPr>
          <w:rFonts w:asciiTheme="minorHAnsi" w:hAnsiTheme="minorHAnsi" w:cs="Arial"/>
          <w:b/>
          <w:i/>
          <w:sz w:val="22"/>
          <w:szCs w:val="22"/>
        </w:rPr>
        <w:t xml:space="preserve"> </w:t>
      </w:r>
    </w:p>
    <w:p w:rsidR="009A401D" w:rsidRPr="00E04A07" w:rsidRDefault="009A401D" w:rsidP="00C70D12">
      <w:pPr>
        <w:rPr>
          <w:rFonts w:asciiTheme="minorHAnsi" w:hAnsiTheme="minorHAnsi" w:cs="Arial"/>
          <w:b/>
          <w:i/>
          <w:sz w:val="22"/>
          <w:szCs w:val="22"/>
          <w:highlight w:val="red"/>
        </w:rPr>
      </w:pPr>
    </w:p>
    <w:p w:rsidR="007E3286" w:rsidRPr="00E04A07" w:rsidRDefault="007E3286" w:rsidP="00C70D12">
      <w:pPr>
        <w:rPr>
          <w:rFonts w:asciiTheme="minorHAnsi" w:hAnsiTheme="minorHAnsi" w:cs="Arial"/>
          <w:b/>
          <w:sz w:val="22"/>
          <w:szCs w:val="22"/>
          <w:highlight w:val="red"/>
        </w:rPr>
      </w:pPr>
    </w:p>
    <w:p w:rsidR="00710301" w:rsidRPr="0007131D" w:rsidRDefault="00710301" w:rsidP="00C70D12">
      <w:pPr>
        <w:ind w:left="1410" w:firstLine="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131D">
        <w:rPr>
          <w:rFonts w:asciiTheme="minorHAnsi" w:hAnsiTheme="minorHAnsi" w:cs="Arial"/>
          <w:color w:val="000000" w:themeColor="text1"/>
          <w:sz w:val="22"/>
          <w:szCs w:val="22"/>
        </w:rPr>
        <w:t>Komentár k tabuľkovej časti</w:t>
      </w:r>
    </w:p>
    <w:p w:rsidR="009A401D" w:rsidRPr="0007131D" w:rsidRDefault="009A401D" w:rsidP="00C70D12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00401E" w:rsidRDefault="00710301" w:rsidP="0000401E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0401E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</w:t>
      </w:r>
      <w:r w:rsidRPr="0000401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30813" w:rsidRPr="0000401E">
        <w:rPr>
          <w:rFonts w:asciiTheme="minorHAnsi" w:hAnsiTheme="minorHAnsi" w:cs="Arial"/>
          <w:color w:val="000000" w:themeColor="text1"/>
          <w:sz w:val="22"/>
          <w:szCs w:val="22"/>
        </w:rPr>
        <w:t>Príjmy z dotácií Trnavskej univerzite v Trnave zo štátneho rozpočtu z kapitoly MŠVVaŠ SR  poskytnuté na základe Zmluvy o poskytnutí dotácie zo štátneho rozpočtu prostredníctvom rozpočtu Ministerstva školstva, vedy, výskumu a športu Slovenskej republiky na rok 201</w:t>
      </w:r>
      <w:r w:rsidR="0000401E" w:rsidRPr="0000401E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530813" w:rsidRPr="0000401E">
        <w:rPr>
          <w:rFonts w:asciiTheme="minorHAnsi" w:hAnsiTheme="minorHAnsi" w:cs="Arial"/>
          <w:color w:val="000000" w:themeColor="text1"/>
          <w:sz w:val="22"/>
          <w:szCs w:val="22"/>
        </w:rPr>
        <w:t xml:space="preserve">  na programe 077 </w:t>
      </w:r>
    </w:p>
    <w:p w:rsidR="00710301" w:rsidRPr="00ED7CB0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7C3A3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3A33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</w:t>
      </w:r>
      <w:r w:rsidRPr="007C3A3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B52688" w:rsidRPr="007C3A33">
        <w:rPr>
          <w:rFonts w:asciiTheme="minorHAnsi" w:hAnsiTheme="minorHAnsi" w:cs="Arial"/>
          <w:color w:val="000000" w:themeColor="text1"/>
          <w:sz w:val="22"/>
          <w:szCs w:val="22"/>
        </w:rPr>
        <w:t>Príjmy  Trnavskej univerzity v Trnave v roku 201</w:t>
      </w:r>
      <w:r w:rsidR="007C3A33" w:rsidRPr="007C3A33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B52688" w:rsidRPr="007C3A33">
        <w:rPr>
          <w:rFonts w:asciiTheme="minorHAnsi" w:hAnsiTheme="minorHAnsi" w:cs="Arial"/>
          <w:color w:val="000000" w:themeColor="text1"/>
          <w:sz w:val="22"/>
          <w:szCs w:val="22"/>
        </w:rPr>
        <w:t xml:space="preserve"> majúce charakter dotácie okrem príjmov z dotácií  z  kapitoly MŠVVaŠ SR a</w:t>
      </w:r>
      <w:r w:rsidR="00FD149B" w:rsidRPr="007C3A3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B52688" w:rsidRPr="007C3A33">
        <w:rPr>
          <w:rFonts w:asciiTheme="minorHAnsi" w:hAnsiTheme="minorHAnsi" w:cs="Arial"/>
          <w:color w:val="000000" w:themeColor="text1"/>
          <w:sz w:val="22"/>
          <w:szCs w:val="22"/>
        </w:rPr>
        <w:t>okrem</w:t>
      </w:r>
      <w:r w:rsidR="00FD149B" w:rsidRPr="007C3A33">
        <w:rPr>
          <w:rFonts w:asciiTheme="minorHAnsi" w:hAnsiTheme="minorHAnsi" w:cs="Arial"/>
          <w:color w:val="000000" w:themeColor="text1"/>
          <w:sz w:val="22"/>
          <w:szCs w:val="22"/>
        </w:rPr>
        <w:t xml:space="preserve"> prostriedkov EÚ (</w:t>
      </w:r>
      <w:r w:rsidR="00B52688" w:rsidRPr="007C3A33">
        <w:rPr>
          <w:rFonts w:asciiTheme="minorHAnsi" w:hAnsiTheme="minorHAnsi" w:cs="Arial"/>
          <w:color w:val="000000" w:themeColor="text1"/>
          <w:sz w:val="22"/>
          <w:szCs w:val="22"/>
        </w:rPr>
        <w:t>štrukturálnych fondov</w:t>
      </w:r>
      <w:r w:rsidR="00FD149B" w:rsidRPr="007C3A33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B52688" w:rsidRPr="007C3A3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B52688" w:rsidRPr="00ED7CB0" w:rsidRDefault="00B52688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FD5651" w:rsidRPr="00EC12F0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C12F0">
        <w:rPr>
          <w:rFonts w:asciiTheme="minorHAnsi" w:hAnsiTheme="minorHAnsi" w:cs="Arial"/>
          <w:b/>
          <w:color w:val="000000" w:themeColor="text1"/>
          <w:sz w:val="22"/>
          <w:szCs w:val="22"/>
        </w:rPr>
        <w:t>Tab. č. 3</w:t>
      </w:r>
      <w:r w:rsidRPr="00EC12F0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5E5377" w:rsidRPr="00EC12F0">
        <w:rPr>
          <w:rFonts w:asciiTheme="minorHAnsi" w:hAnsiTheme="minorHAnsi" w:cs="Arial"/>
          <w:color w:val="000000" w:themeColor="text1"/>
          <w:sz w:val="22"/>
          <w:szCs w:val="22"/>
        </w:rPr>
        <w:t>Výnosy Trnavskej univerzity v Trnave v rokoch 201</w:t>
      </w:r>
      <w:r w:rsidR="00EC12F0" w:rsidRPr="00EC12F0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5E5377" w:rsidRPr="00EC12F0">
        <w:rPr>
          <w:rFonts w:asciiTheme="minorHAnsi" w:hAnsiTheme="minorHAnsi" w:cs="Arial"/>
          <w:color w:val="000000" w:themeColor="text1"/>
          <w:sz w:val="22"/>
          <w:szCs w:val="22"/>
        </w:rPr>
        <w:t xml:space="preserve"> a 201</w:t>
      </w:r>
      <w:r w:rsidR="00EC12F0" w:rsidRPr="00EC12F0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5E5377" w:rsidRPr="00EC12F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5E5377" w:rsidRPr="00ED7CB0" w:rsidRDefault="005E5377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9A401D" w:rsidRPr="00407E1E" w:rsidRDefault="00710301" w:rsidP="00407E1E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7E1E">
        <w:rPr>
          <w:rFonts w:asciiTheme="minorHAnsi" w:hAnsiTheme="minorHAnsi" w:cs="Arial"/>
          <w:b/>
          <w:color w:val="000000" w:themeColor="text1"/>
          <w:sz w:val="22"/>
          <w:szCs w:val="22"/>
        </w:rPr>
        <w:t>Tab. č. 4</w:t>
      </w:r>
      <w:r w:rsidRPr="00407E1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407E1E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E91B7F" w:rsidRPr="00407E1E">
        <w:rPr>
          <w:rFonts w:asciiTheme="minorHAnsi" w:hAnsiTheme="minorHAnsi" w:cs="Arial"/>
          <w:color w:val="000000" w:themeColor="text1"/>
          <w:sz w:val="22"/>
          <w:szCs w:val="22"/>
        </w:rPr>
        <w:t>Výnosy Trnavskej univerzity v Trnave zo školného a z poplatkov spojených so štúdiom v rokoch 201</w:t>
      </w:r>
      <w:r w:rsidR="00407E1E" w:rsidRPr="00407E1E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E91B7F" w:rsidRPr="00407E1E">
        <w:rPr>
          <w:rFonts w:asciiTheme="minorHAnsi" w:hAnsiTheme="minorHAnsi" w:cs="Arial"/>
          <w:color w:val="000000" w:themeColor="text1"/>
          <w:sz w:val="22"/>
          <w:szCs w:val="22"/>
        </w:rPr>
        <w:t xml:space="preserve"> a 201</w:t>
      </w:r>
      <w:r w:rsidR="00407E1E" w:rsidRPr="00407E1E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E91B7F" w:rsidRPr="00ED7CB0" w:rsidRDefault="00E91B7F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458CB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458CB">
        <w:rPr>
          <w:rFonts w:asciiTheme="minorHAnsi" w:hAnsiTheme="minorHAnsi" w:cs="Arial"/>
          <w:b/>
          <w:color w:val="000000" w:themeColor="text1"/>
          <w:sz w:val="22"/>
          <w:szCs w:val="22"/>
        </w:rPr>
        <w:t>Tab. č. 5</w:t>
      </w:r>
      <w:r w:rsidRPr="00F458CB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 u</w:t>
      </w:r>
      <w:r w:rsidR="00FD5651" w:rsidRPr="00F458CB">
        <w:rPr>
          <w:rFonts w:asciiTheme="minorHAnsi" w:hAnsiTheme="minorHAnsi" w:cs="Arial"/>
          <w:color w:val="000000" w:themeColor="text1"/>
          <w:sz w:val="22"/>
          <w:szCs w:val="22"/>
        </w:rPr>
        <w:t>niverzity v Trnave v rokoch 201</w:t>
      </w:r>
      <w:r w:rsidR="00F458CB" w:rsidRPr="00F458CB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F458CB">
        <w:rPr>
          <w:rFonts w:asciiTheme="minorHAnsi" w:hAnsiTheme="minorHAnsi" w:cs="Arial"/>
          <w:color w:val="000000" w:themeColor="text1"/>
          <w:sz w:val="22"/>
          <w:szCs w:val="22"/>
        </w:rPr>
        <w:t xml:space="preserve">  a</w:t>
      </w:r>
      <w:r w:rsidR="000927DB" w:rsidRPr="00F458CB">
        <w:rPr>
          <w:rFonts w:asciiTheme="minorHAnsi" w:hAnsiTheme="minorHAnsi" w:cs="Arial"/>
          <w:color w:val="000000" w:themeColor="text1"/>
          <w:sz w:val="22"/>
          <w:szCs w:val="22"/>
        </w:rPr>
        <w:t> 201</w:t>
      </w:r>
      <w:r w:rsidR="00F458CB" w:rsidRPr="00F458CB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FD5651" w:rsidRPr="00ED7CB0" w:rsidRDefault="00FD565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458CB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458CB">
        <w:rPr>
          <w:rFonts w:asciiTheme="minorHAnsi" w:hAnsiTheme="minorHAnsi" w:cs="Arial"/>
          <w:b/>
          <w:color w:val="000000" w:themeColor="text1"/>
          <w:sz w:val="22"/>
          <w:szCs w:val="22"/>
        </w:rPr>
        <w:t>Tab. č. 6</w:t>
      </w:r>
      <w:r w:rsidRPr="00F458CB">
        <w:rPr>
          <w:rFonts w:asciiTheme="minorHAnsi" w:hAnsiTheme="minorHAnsi" w:cs="Arial"/>
          <w:color w:val="000000" w:themeColor="text1"/>
          <w:sz w:val="22"/>
          <w:szCs w:val="22"/>
        </w:rPr>
        <w:tab/>
        <w:t>Zamestnanci a náklady na mzdy Trnavskej</w:t>
      </w:r>
      <w:r w:rsidR="00FD5651" w:rsidRPr="00F458CB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F458CB" w:rsidRPr="00F458CB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9A401D" w:rsidRPr="00BB2C3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B2C33">
        <w:rPr>
          <w:rFonts w:asciiTheme="minorHAnsi" w:hAnsiTheme="minorHAnsi" w:cs="Arial"/>
          <w:b/>
          <w:color w:val="000000" w:themeColor="text1"/>
          <w:sz w:val="22"/>
          <w:szCs w:val="22"/>
        </w:rPr>
        <w:t>Tab. č. 6a</w:t>
      </w:r>
      <w:r w:rsidRPr="00BB2C3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16C82" w:rsidRPr="00BB2C33">
        <w:rPr>
          <w:rFonts w:asciiTheme="minorHAnsi" w:hAnsiTheme="minorHAnsi" w:cs="Arial"/>
          <w:color w:val="000000" w:themeColor="text1"/>
          <w:sz w:val="22"/>
          <w:szCs w:val="22"/>
        </w:rPr>
        <w:t>Zamestnanci a náklady na mzdy Trnavskej univerzity v Trnave v roku 201</w:t>
      </w:r>
      <w:r w:rsidR="00BB2C33" w:rsidRPr="00BB2C33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C16C82" w:rsidRPr="00BB2C33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="00BB2C33" w:rsidRPr="00BB2C33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00C16C82" w:rsidRPr="00BB2C33">
        <w:rPr>
          <w:rFonts w:asciiTheme="minorHAnsi" w:hAnsiTheme="minorHAnsi" w:cs="Arial"/>
          <w:color w:val="000000" w:themeColor="text1"/>
          <w:sz w:val="22"/>
          <w:szCs w:val="22"/>
        </w:rPr>
        <w:t>len  ženy  a výpočet priemerného platu mužov</w:t>
      </w:r>
      <w:r w:rsidR="00BB2C33" w:rsidRPr="00BB2C33">
        <w:rPr>
          <w:rFonts w:asciiTheme="minorHAnsi" w:hAnsiTheme="minorHAnsi" w:cs="Arial"/>
          <w:color w:val="000000" w:themeColor="text1"/>
          <w:sz w:val="22"/>
          <w:szCs w:val="22"/>
        </w:rPr>
        <w:t>)</w:t>
      </w:r>
      <w:r w:rsidR="00C16C82" w:rsidRPr="00BB2C3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DC069A" w:rsidRPr="00ED7CB0" w:rsidRDefault="00DC069A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4251C6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251C6">
        <w:rPr>
          <w:rFonts w:asciiTheme="minorHAnsi" w:hAnsiTheme="minorHAnsi" w:cs="Arial"/>
          <w:b/>
          <w:color w:val="000000" w:themeColor="text1"/>
          <w:sz w:val="22"/>
          <w:szCs w:val="22"/>
        </w:rPr>
        <w:t>Tab. č. 7</w:t>
      </w:r>
      <w:r w:rsidRPr="004251C6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 univerzity v Trnave na štipendiá i</w:t>
      </w:r>
      <w:r w:rsidR="0007131D" w:rsidRPr="004251C6">
        <w:rPr>
          <w:rFonts w:asciiTheme="minorHAnsi" w:hAnsiTheme="minorHAnsi" w:cs="Arial"/>
          <w:color w:val="000000" w:themeColor="text1"/>
          <w:sz w:val="22"/>
          <w:szCs w:val="22"/>
        </w:rPr>
        <w:t>nterných doktorandov v roku 201</w:t>
      </w:r>
      <w:r w:rsidR="004251C6" w:rsidRPr="004251C6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907C4C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6110F6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07C4C">
        <w:rPr>
          <w:rFonts w:asciiTheme="minorHAnsi" w:hAnsiTheme="minorHAnsi" w:cs="Arial"/>
          <w:b/>
          <w:color w:val="000000" w:themeColor="text1"/>
          <w:sz w:val="22"/>
          <w:szCs w:val="22"/>
        </w:rPr>
        <w:t>Tab. č. 8</w:t>
      </w:r>
      <w:r w:rsidRPr="00907C4C">
        <w:rPr>
          <w:rFonts w:asciiTheme="minorHAnsi" w:hAnsiTheme="minorHAnsi" w:cs="Arial"/>
          <w:color w:val="000000" w:themeColor="text1"/>
          <w:sz w:val="22"/>
          <w:szCs w:val="22"/>
        </w:rPr>
        <w:tab/>
        <w:t>Údaje o systéme sociálnej podpory - časť sociálne štip</w:t>
      </w:r>
      <w:r w:rsidR="00C70D6D" w:rsidRPr="00907C4C">
        <w:rPr>
          <w:rFonts w:asciiTheme="minorHAnsi" w:hAnsiTheme="minorHAnsi" w:cs="Arial"/>
          <w:color w:val="000000" w:themeColor="text1"/>
          <w:sz w:val="22"/>
          <w:szCs w:val="22"/>
        </w:rPr>
        <w:t xml:space="preserve">endiá (§ 96 zákona) za roky </w:t>
      </w:r>
      <w:r w:rsidR="00C70D6D" w:rsidRPr="006110F6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907C4C" w:rsidRPr="006110F6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6110F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46EC8" w:rsidRPr="006110F6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907C4C" w:rsidRPr="006110F6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6110F6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C16C82" w:rsidRPr="006110F6" w:rsidRDefault="00710301" w:rsidP="00C16C82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10F6">
        <w:rPr>
          <w:rFonts w:asciiTheme="minorHAnsi" w:hAnsiTheme="minorHAnsi" w:cs="Arial"/>
          <w:b/>
          <w:color w:val="000000" w:themeColor="text1"/>
          <w:sz w:val="22"/>
          <w:szCs w:val="22"/>
        </w:rPr>
        <w:t>Tab. č. 9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C16C82"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Údaje o systéme sociálnej podpory  - časť výnosy a náklady  študentských domovov </w:t>
      </w:r>
    </w:p>
    <w:p w:rsidR="00710301" w:rsidRPr="006110F6" w:rsidRDefault="00C16C82" w:rsidP="00C16C82">
      <w:pPr>
        <w:shd w:val="clear" w:color="auto" w:fill="FFFFFF" w:themeFill="background1"/>
        <w:ind w:left="1410" w:firstLine="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>(bez zmluvných zariadení) za roky 201</w:t>
      </w:r>
      <w:r w:rsidR="006110F6" w:rsidRPr="006110F6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6110F6" w:rsidRPr="006110F6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6110F6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6110F6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10F6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10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ab/>
        <w:t>Údaje o systéme sociálnej podpory - časť výnosy a náklady š</w:t>
      </w:r>
      <w:r w:rsidR="00591553" w:rsidRPr="006110F6">
        <w:rPr>
          <w:rFonts w:asciiTheme="minorHAnsi" w:hAnsiTheme="minorHAnsi" w:cs="Arial"/>
          <w:color w:val="000000" w:themeColor="text1"/>
          <w:sz w:val="22"/>
          <w:szCs w:val="22"/>
        </w:rPr>
        <w:t>tudentských jedální za roky 201</w:t>
      </w:r>
      <w:r w:rsidR="006110F6" w:rsidRPr="006110F6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672BB5"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6110F6" w:rsidRPr="006110F6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6110F6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110F6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11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ab/>
        <w:t>Zdroje Trnavskej univerzity v Trnave na obstaranie a technické zhodnotenie d</w:t>
      </w:r>
      <w:r w:rsidR="00272D57" w:rsidRPr="006110F6">
        <w:rPr>
          <w:rFonts w:asciiTheme="minorHAnsi" w:hAnsiTheme="minorHAnsi" w:cs="Arial"/>
          <w:color w:val="000000" w:themeColor="text1"/>
          <w:sz w:val="22"/>
          <w:szCs w:val="22"/>
        </w:rPr>
        <w:t>lhodobého majetku v rokoch 201</w:t>
      </w:r>
      <w:r w:rsidR="006110F6" w:rsidRPr="006110F6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272D57" w:rsidRPr="006110F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110F6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9A401D" w:rsidRPr="006110F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4E72" w:rsidRPr="006110F6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6110F6" w:rsidRPr="006110F6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D9484D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9484D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12</w:t>
      </w:r>
      <w:r w:rsidRPr="00D9484D">
        <w:rPr>
          <w:rFonts w:asciiTheme="minorHAnsi" w:hAnsiTheme="minorHAnsi" w:cs="Arial"/>
          <w:color w:val="000000" w:themeColor="text1"/>
          <w:sz w:val="22"/>
          <w:szCs w:val="22"/>
        </w:rPr>
        <w:tab/>
        <w:t>Výdavky Trnavskej univerzity v Trnave na obstaranie a technické zhodnoteni</w:t>
      </w:r>
      <w:r w:rsidR="00272D57" w:rsidRPr="00D9484D">
        <w:rPr>
          <w:rFonts w:asciiTheme="minorHAnsi" w:hAnsiTheme="minorHAnsi" w:cs="Arial"/>
          <w:color w:val="000000" w:themeColor="text1"/>
          <w:sz w:val="22"/>
          <w:szCs w:val="22"/>
        </w:rPr>
        <w:t>e dlhodobého majetku v roku 201</w:t>
      </w:r>
      <w:r w:rsidR="006110F6" w:rsidRPr="00D9484D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D9484D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9484D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13</w:t>
      </w:r>
      <w:r w:rsidRPr="00D9484D">
        <w:rPr>
          <w:rFonts w:asciiTheme="minorHAnsi" w:hAnsiTheme="minorHAnsi" w:cs="Arial"/>
          <w:color w:val="000000" w:themeColor="text1"/>
          <w:sz w:val="22"/>
          <w:szCs w:val="22"/>
        </w:rPr>
        <w:tab/>
        <w:t>Stav a vývoj finančných fondov Trnavskej univerzity v Trnave v rokoch 201</w:t>
      </w:r>
      <w:r w:rsidR="00D9484D" w:rsidRPr="00D9484D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D9484D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074DFA" w:rsidRPr="00D9484D">
        <w:rPr>
          <w:rFonts w:asciiTheme="minorHAnsi" w:hAnsiTheme="minorHAnsi" w:cs="Arial"/>
          <w:color w:val="000000" w:themeColor="text1"/>
          <w:sz w:val="22"/>
          <w:szCs w:val="22"/>
        </w:rPr>
        <w:t> 201</w:t>
      </w:r>
      <w:r w:rsidR="00D9484D" w:rsidRPr="00D9484D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CA568B" w:rsidRPr="00D9484D" w:rsidRDefault="00CA568B" w:rsidP="00D9484D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10301" w:rsidRPr="00D9484D" w:rsidRDefault="00710301" w:rsidP="00D9484D">
      <w:pPr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9484D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16</w:t>
      </w:r>
      <w:r w:rsidRPr="00D9484D">
        <w:rPr>
          <w:rFonts w:asciiTheme="minorHAnsi" w:hAnsiTheme="minorHAnsi" w:cs="Arial"/>
          <w:color w:val="000000" w:themeColor="text1"/>
          <w:sz w:val="22"/>
          <w:szCs w:val="22"/>
        </w:rPr>
        <w:tab/>
        <w:t>Štruktúra a stav finančných prostriedkov na banko</w:t>
      </w:r>
      <w:r w:rsidR="00272D57" w:rsidRPr="00D9484D">
        <w:rPr>
          <w:rFonts w:asciiTheme="minorHAnsi" w:hAnsiTheme="minorHAnsi" w:cs="Arial"/>
          <w:color w:val="000000" w:themeColor="text1"/>
          <w:sz w:val="22"/>
          <w:szCs w:val="22"/>
        </w:rPr>
        <w:t>vých účtoch Trnavskej univerzity  v Trnave k 31. decembru 201</w:t>
      </w:r>
      <w:r w:rsidR="00D9484D" w:rsidRPr="00D9484D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CA568B" w:rsidRPr="00D9484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883F25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83F25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Tab. č. 17</w:t>
      </w:r>
      <w:r w:rsidR="00272D57" w:rsidRPr="00883F25">
        <w:rPr>
          <w:rFonts w:asciiTheme="minorHAnsi" w:hAnsiTheme="minorHAnsi" w:cs="Arial"/>
          <w:color w:val="000000" w:themeColor="text1"/>
          <w:sz w:val="22"/>
          <w:szCs w:val="22"/>
        </w:rPr>
        <w:tab/>
        <w:t>Príjmy Trnavskej univerzity</w:t>
      </w:r>
      <w:r w:rsidRPr="00883F25">
        <w:rPr>
          <w:rFonts w:asciiTheme="minorHAnsi" w:hAnsiTheme="minorHAnsi" w:cs="Arial"/>
          <w:color w:val="000000" w:themeColor="text1"/>
          <w:sz w:val="22"/>
          <w:szCs w:val="22"/>
        </w:rPr>
        <w:t xml:space="preserve"> v Trnave z prostriedkov EÚ a z prostriedkov na ich spolufinancovanie zo </w:t>
      </w:r>
      <w:r w:rsidR="00CD2039" w:rsidRPr="00883F25">
        <w:rPr>
          <w:rFonts w:asciiTheme="minorHAnsi" w:hAnsiTheme="minorHAnsi" w:cs="Arial"/>
          <w:color w:val="000000" w:themeColor="text1"/>
          <w:sz w:val="22"/>
          <w:szCs w:val="22"/>
        </w:rPr>
        <w:t>štátneho rozpočtu</w:t>
      </w:r>
      <w:r w:rsidRPr="00883F25">
        <w:rPr>
          <w:rFonts w:asciiTheme="minorHAnsi" w:hAnsiTheme="minorHAnsi" w:cs="Arial"/>
          <w:color w:val="000000" w:themeColor="text1"/>
          <w:sz w:val="22"/>
          <w:szCs w:val="22"/>
        </w:rPr>
        <w:t xml:space="preserve"> z kapitoly MŠVVaŠ SR </w:t>
      </w:r>
      <w:r w:rsidR="00272D57" w:rsidRPr="00883F25">
        <w:rPr>
          <w:rFonts w:asciiTheme="minorHAnsi" w:hAnsiTheme="minorHAnsi" w:cs="Arial"/>
          <w:color w:val="000000" w:themeColor="text1"/>
          <w:sz w:val="22"/>
          <w:szCs w:val="22"/>
        </w:rPr>
        <w:t xml:space="preserve">a z iných kapitol </w:t>
      </w:r>
      <w:r w:rsidR="00CD2039" w:rsidRPr="00883F25">
        <w:rPr>
          <w:rFonts w:asciiTheme="minorHAnsi" w:hAnsiTheme="minorHAnsi" w:cs="Arial"/>
          <w:color w:val="000000" w:themeColor="text1"/>
          <w:sz w:val="22"/>
          <w:szCs w:val="22"/>
        </w:rPr>
        <w:t>štátneho rozpočtu</w:t>
      </w:r>
      <w:r w:rsidR="00577FD0" w:rsidRPr="00883F25">
        <w:rPr>
          <w:rFonts w:asciiTheme="minorHAnsi" w:hAnsiTheme="minorHAnsi" w:cs="Arial"/>
          <w:color w:val="000000" w:themeColor="text1"/>
          <w:sz w:val="22"/>
          <w:szCs w:val="22"/>
        </w:rPr>
        <w:t xml:space="preserve"> v roku 201</w:t>
      </w:r>
      <w:r w:rsidR="00883F25" w:rsidRPr="00883F25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632FA3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32FA3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18</w:t>
      </w:r>
      <w:r w:rsidRPr="00632FA3">
        <w:rPr>
          <w:rFonts w:asciiTheme="minorHAnsi" w:hAnsiTheme="minorHAnsi" w:cs="Arial"/>
          <w:color w:val="000000" w:themeColor="text1"/>
          <w:sz w:val="22"/>
          <w:szCs w:val="22"/>
        </w:rPr>
        <w:tab/>
        <w:t>Príjmy z dotácií Trnavskej univerzite v Trnave zo štátneho rozpočtu z kapitoly MŠVVaŠ SR poskytnuté mimo programu 077 a mimo príjmov z prostriedkov EÚ (št</w:t>
      </w:r>
      <w:r w:rsidR="00F95674" w:rsidRPr="00632FA3">
        <w:rPr>
          <w:rFonts w:asciiTheme="minorHAnsi" w:hAnsiTheme="minorHAnsi" w:cs="Arial"/>
          <w:color w:val="000000" w:themeColor="text1"/>
          <w:sz w:val="22"/>
          <w:szCs w:val="22"/>
        </w:rPr>
        <w:t>rukturálnych fondov) v roku 201</w:t>
      </w:r>
      <w:r w:rsidR="00632FA3" w:rsidRPr="00632FA3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ED7CB0" w:rsidRDefault="00710301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  <w:r w:rsidRPr="00FC28A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19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ab/>
        <w:t>Štipendiá z vlastných zdrojov podľa § 97 zákona v rokoch 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FC28A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28408D" w:rsidRPr="00FC28A2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C28A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C28A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20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ab/>
        <w:t>M</w:t>
      </w:r>
      <w:r w:rsidR="00272D57" w:rsidRPr="00FC28A2">
        <w:rPr>
          <w:rFonts w:asciiTheme="minorHAnsi" w:hAnsiTheme="minorHAnsi" w:cs="Arial"/>
          <w:color w:val="000000" w:themeColor="text1"/>
          <w:sz w:val="22"/>
          <w:szCs w:val="22"/>
        </w:rPr>
        <w:t>otivačné štipendiá v rokoch 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437BC8"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a 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(v zmysle § 96a zákona)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C28A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C28A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21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Štruktúra účtu 384 – výnosy budúcich období </w:t>
      </w:r>
      <w:r w:rsidR="00873707" w:rsidRPr="00FC28A2">
        <w:rPr>
          <w:rFonts w:asciiTheme="minorHAnsi" w:hAnsiTheme="minorHAnsi" w:cs="Arial"/>
          <w:color w:val="000000" w:themeColor="text1"/>
          <w:sz w:val="22"/>
          <w:szCs w:val="22"/>
        </w:rPr>
        <w:t>v rokoch 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a</w:t>
      </w:r>
      <w:r w:rsidR="009A401D" w:rsidRPr="00FC28A2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D67AF6" w:rsidRPr="00FC28A2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C28A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C28A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22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ab/>
        <w:t>Výnosy Trnavskej</w:t>
      </w:r>
      <w:r w:rsidR="00272D57"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FC28A2" w:rsidRDefault="00710301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C28A2">
        <w:rPr>
          <w:rFonts w:asciiTheme="minorHAnsi" w:hAnsiTheme="minorHAnsi" w:cs="Arial"/>
          <w:b/>
          <w:color w:val="000000" w:themeColor="text1"/>
          <w:sz w:val="22"/>
          <w:szCs w:val="22"/>
        </w:rPr>
        <w:t>Tab. č. 23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ab/>
        <w:t>Náklady Trnavskej</w:t>
      </w:r>
      <w:r w:rsidR="00873707"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univerzity v Trnave v roku 201</w:t>
      </w:r>
      <w:r w:rsidR="00FC28A2" w:rsidRPr="00FC28A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FC28A2">
        <w:rPr>
          <w:rFonts w:asciiTheme="minorHAnsi" w:hAnsiTheme="minorHAnsi" w:cs="Arial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ED7CB0" w:rsidRDefault="009A401D" w:rsidP="00974363">
      <w:pPr>
        <w:shd w:val="clear" w:color="auto" w:fill="FFFFFF" w:themeFill="background1"/>
        <w:ind w:left="1410" w:hanging="141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710301" w:rsidRPr="00ED7CB0" w:rsidRDefault="00710301" w:rsidP="00C70D12">
      <w:pPr>
        <w:rPr>
          <w:rFonts w:asciiTheme="minorHAnsi" w:hAnsiTheme="minorHAnsi" w:cs="Arial"/>
          <w:b/>
          <w:i/>
          <w:color w:val="000000" w:themeColor="text1"/>
          <w:sz w:val="22"/>
          <w:szCs w:val="22"/>
          <w:highlight w:val="yellow"/>
        </w:rPr>
      </w:pPr>
    </w:p>
    <w:p w:rsidR="009A401D" w:rsidRPr="00ED7CB0" w:rsidRDefault="009A401D" w:rsidP="00C70D12">
      <w:pPr>
        <w:rPr>
          <w:rFonts w:asciiTheme="minorHAnsi" w:hAnsiTheme="minorHAnsi" w:cs="Arial"/>
          <w:b/>
          <w:i/>
          <w:color w:val="000000" w:themeColor="text1"/>
          <w:sz w:val="22"/>
          <w:szCs w:val="22"/>
          <w:highlight w:val="yellow"/>
        </w:rPr>
      </w:pPr>
    </w:p>
    <w:p w:rsidR="009A401D" w:rsidRPr="00ED7CB0" w:rsidRDefault="009A401D" w:rsidP="00C70D12">
      <w:pPr>
        <w:rPr>
          <w:rFonts w:asciiTheme="minorHAnsi" w:hAnsiTheme="minorHAnsi" w:cs="Arial"/>
          <w:b/>
          <w:i/>
          <w:color w:val="000000" w:themeColor="text1"/>
          <w:sz w:val="22"/>
          <w:szCs w:val="22"/>
          <w:highlight w:val="yellow"/>
        </w:rPr>
      </w:pPr>
    </w:p>
    <w:p w:rsidR="009A401D" w:rsidRPr="00F91A73" w:rsidRDefault="009A401D" w:rsidP="00C70D12">
      <w:pPr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E124B4" w:rsidRPr="00F91A73" w:rsidRDefault="00E124B4" w:rsidP="0002579F">
      <w:pPr>
        <w:shd w:val="clear" w:color="auto" w:fill="FFFFFF" w:themeFill="background1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proofErr w:type="spellStart"/>
      <w:r w:rsidRPr="00F91A73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Prílohová</w:t>
      </w:r>
      <w:proofErr w:type="spellEnd"/>
      <w:r w:rsidRPr="00F91A73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 časť</w:t>
      </w:r>
    </w:p>
    <w:p w:rsidR="00710301" w:rsidRPr="00F91A73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A401D" w:rsidRPr="00F91A73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333DA" w:rsidRPr="00F91A73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>ríloha č. 1</w:t>
      </w:r>
      <w:r w:rsidR="00E124B4" w:rsidRPr="00F91A7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7333DA" w:rsidRPr="00F91A73">
        <w:rPr>
          <w:rFonts w:asciiTheme="minorHAnsi" w:hAnsiTheme="minorHAnsi" w:cs="Arial"/>
          <w:color w:val="000000" w:themeColor="text1"/>
          <w:sz w:val="22"/>
          <w:szCs w:val="22"/>
        </w:rPr>
        <w:t>Ročná</w:t>
      </w:r>
      <w:r w:rsidR="00B30069" w:rsidRPr="00F91A73">
        <w:rPr>
          <w:rFonts w:asciiTheme="minorHAnsi" w:hAnsiTheme="minorHAnsi" w:cs="Arial"/>
          <w:color w:val="000000" w:themeColor="text1"/>
          <w:sz w:val="22"/>
          <w:szCs w:val="22"/>
        </w:rPr>
        <w:t xml:space="preserve"> účtovná závierka k 31. 12. 201</w:t>
      </w:r>
      <w:r w:rsidR="00CD2076" w:rsidRPr="00F91A73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7333DA" w:rsidRPr="00F91A73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E124B4" w:rsidRPr="00F91A73">
        <w:rPr>
          <w:rFonts w:asciiTheme="minorHAnsi" w:hAnsiTheme="minorHAnsi" w:cs="Arial"/>
          <w:color w:val="000000" w:themeColor="text1"/>
          <w:sz w:val="22"/>
          <w:szCs w:val="22"/>
        </w:rPr>
        <w:t>Súvaha</w:t>
      </w:r>
      <w:r w:rsidR="007333DA" w:rsidRPr="00F91A73">
        <w:rPr>
          <w:rFonts w:asciiTheme="minorHAnsi" w:hAnsiTheme="minorHAnsi" w:cs="Arial"/>
          <w:color w:val="000000" w:themeColor="text1"/>
          <w:sz w:val="22"/>
          <w:szCs w:val="22"/>
        </w:rPr>
        <w:t xml:space="preserve">, Výkaz ziskov a strát, Poznámky </w:t>
      </w:r>
    </w:p>
    <w:p w:rsidR="00E124B4" w:rsidRPr="00F91A73" w:rsidRDefault="007333DA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91A7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F91A73">
        <w:rPr>
          <w:rFonts w:asciiTheme="minorHAnsi" w:hAnsiTheme="minorHAnsi" w:cs="Arial"/>
          <w:color w:val="000000" w:themeColor="text1"/>
          <w:sz w:val="22"/>
          <w:szCs w:val="22"/>
        </w:rPr>
        <w:tab/>
        <w:t>k ročnej závierke)</w:t>
      </w:r>
    </w:p>
    <w:p w:rsidR="009A401D" w:rsidRPr="00F91A73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579F" w:rsidRPr="00F91A73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ríloha č. </w:t>
      </w:r>
      <w:r w:rsidR="007333DA"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>2</w:t>
      </w:r>
      <w:r w:rsidR="00E124B4" w:rsidRPr="00F91A7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2579F" w:rsidRPr="00F91A73">
        <w:rPr>
          <w:rFonts w:asciiTheme="minorHAnsi" w:hAnsiTheme="minorHAnsi" w:cs="Arial"/>
          <w:color w:val="000000" w:themeColor="text1"/>
          <w:sz w:val="22"/>
          <w:szCs w:val="22"/>
        </w:rPr>
        <w:t>Výkaz ziskov a strát k 31. 12. 201</w:t>
      </w:r>
      <w:r w:rsidR="00CD2076" w:rsidRPr="00F91A73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02579F" w:rsidRPr="00F91A73">
        <w:rPr>
          <w:rFonts w:asciiTheme="minorHAnsi" w:hAnsiTheme="minorHAnsi" w:cs="Arial"/>
          <w:color w:val="000000" w:themeColor="text1"/>
          <w:sz w:val="22"/>
          <w:szCs w:val="22"/>
        </w:rPr>
        <w:t xml:space="preserve"> (len sociálna podpora študentov)</w:t>
      </w:r>
    </w:p>
    <w:p w:rsidR="009A401D" w:rsidRPr="00F91A73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579F" w:rsidRPr="00ED7CB0" w:rsidRDefault="00710301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>P</w:t>
      </w:r>
      <w:r w:rsidR="00E124B4"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ríloha č. </w:t>
      </w:r>
      <w:r w:rsidR="007333DA" w:rsidRPr="00F91A73">
        <w:rPr>
          <w:rFonts w:asciiTheme="minorHAnsi" w:hAnsiTheme="minorHAnsi" w:cs="Arial"/>
          <w:b/>
          <w:color w:val="000000" w:themeColor="text1"/>
          <w:sz w:val="22"/>
          <w:szCs w:val="22"/>
        </w:rPr>
        <w:t>3</w:t>
      </w:r>
      <w:r w:rsidR="00E124B4" w:rsidRPr="00F91A7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="0002579F" w:rsidRPr="00F91A73">
        <w:rPr>
          <w:rFonts w:asciiTheme="minorHAnsi" w:hAnsiTheme="minorHAnsi" w:cs="Arial"/>
          <w:color w:val="000000" w:themeColor="text1"/>
          <w:sz w:val="22"/>
          <w:szCs w:val="22"/>
        </w:rPr>
        <w:t xml:space="preserve">Rozdelenie zisku </w:t>
      </w:r>
      <w:r w:rsidR="002254F6" w:rsidRPr="00F91A73">
        <w:rPr>
          <w:rFonts w:asciiTheme="minorHAnsi" w:hAnsiTheme="minorHAnsi" w:cs="Arial"/>
          <w:color w:val="000000" w:themeColor="text1"/>
          <w:sz w:val="22"/>
          <w:szCs w:val="22"/>
        </w:rPr>
        <w:t xml:space="preserve">(straty) </w:t>
      </w:r>
      <w:r w:rsidR="0002579F" w:rsidRPr="00F91A73">
        <w:rPr>
          <w:rFonts w:asciiTheme="minorHAnsi" w:hAnsiTheme="minorHAnsi" w:cs="Arial"/>
          <w:color w:val="000000" w:themeColor="text1"/>
          <w:sz w:val="22"/>
          <w:szCs w:val="22"/>
        </w:rPr>
        <w:t>v schvaľovacom konaní za rok 201</w:t>
      </w:r>
      <w:r w:rsidR="00CD2076" w:rsidRPr="00F91A73">
        <w:rPr>
          <w:rFonts w:asciiTheme="minorHAnsi" w:hAnsiTheme="minorHAnsi" w:cs="Arial"/>
          <w:color w:val="000000" w:themeColor="text1"/>
          <w:sz w:val="22"/>
          <w:szCs w:val="22"/>
        </w:rPr>
        <w:t>8</w:t>
      </w:r>
    </w:p>
    <w:p w:rsidR="009A401D" w:rsidRPr="00ED7CB0" w:rsidRDefault="009A401D" w:rsidP="0002579F">
      <w:pPr>
        <w:shd w:val="clear" w:color="auto" w:fill="FFFFFF" w:themeFill="background1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211F0" w:rsidRPr="00C70D12" w:rsidRDefault="00E124B4" w:rsidP="007E3286">
      <w:pPr>
        <w:ind w:left="1410" w:hanging="1410"/>
        <w:jc w:val="both"/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color w:val="FF0000"/>
        </w:rPr>
        <w:br w:type="page"/>
      </w:r>
    </w:p>
    <w:p w:rsidR="00325EA9" w:rsidRPr="00C70D12" w:rsidRDefault="00325EA9" w:rsidP="007E3286">
      <w:pPr>
        <w:ind w:left="1410" w:hanging="1410"/>
        <w:jc w:val="both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lastRenderedPageBreak/>
        <w:t>Základné údaje o univerzite:</w:t>
      </w:r>
    </w:p>
    <w:p w:rsidR="00325EA9" w:rsidRPr="00C70D12" w:rsidRDefault="00325EA9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eastAsia="PMingLiU-ExtB" w:hAnsiTheme="minorHAnsi" w:cs="Arial"/>
          <w:b/>
        </w:rPr>
      </w:pPr>
      <w:r w:rsidRPr="00C70D12">
        <w:rPr>
          <w:rFonts w:asciiTheme="minorHAnsi" w:eastAsia="PMingLiU-ExtB" w:hAnsiTheme="minorHAnsi" w:cs="Arial"/>
          <w:sz w:val="22"/>
          <w:szCs w:val="22"/>
        </w:rPr>
        <w:t>Názov:</w:t>
      </w:r>
      <w:r w:rsidR="00567FDE" w:rsidRPr="00C70D12">
        <w:rPr>
          <w:rFonts w:asciiTheme="minorHAnsi" w:hAnsiTheme="minorHAnsi" w:cs="Arial"/>
          <w:sz w:val="22"/>
          <w:szCs w:val="22"/>
        </w:rPr>
        <w:t xml:space="preserve"> </w:t>
      </w:r>
      <w:r w:rsidR="00567FDE" w:rsidRPr="00C70D12">
        <w:rPr>
          <w:rFonts w:asciiTheme="minorHAnsi" w:hAnsiTheme="minorHAnsi" w:cs="Arial"/>
          <w:sz w:val="22"/>
          <w:szCs w:val="22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       </w:t>
      </w:r>
      <w:r w:rsidR="00567FDE" w:rsidRPr="00C70D12">
        <w:rPr>
          <w:rFonts w:asciiTheme="minorHAnsi" w:eastAsia="PMingLiU-ExtB" w:hAnsiTheme="minorHAnsi" w:cs="Arial"/>
          <w:b/>
        </w:rPr>
        <w:t xml:space="preserve"> </w:t>
      </w:r>
      <w:r w:rsidRPr="00C70D12">
        <w:rPr>
          <w:rFonts w:asciiTheme="minorHAnsi" w:eastAsia="PMingLiU-ExtB" w:hAnsiTheme="minorHAnsi" w:cs="Arial"/>
          <w:b/>
          <w:sz w:val="24"/>
          <w:szCs w:val="24"/>
        </w:rPr>
        <w:t>Trnavská univerzita v Trnave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4"/>
          <w:szCs w:val="24"/>
        </w:rPr>
      </w:pPr>
      <w:r w:rsidRPr="00C70D12">
        <w:rPr>
          <w:rFonts w:asciiTheme="minorHAnsi" w:hAnsiTheme="minorHAnsi" w:cs="Arial"/>
          <w:sz w:val="22"/>
          <w:szCs w:val="22"/>
        </w:rPr>
        <w:t>Sídlo:</w:t>
      </w:r>
      <w:r w:rsidRPr="00C70D12">
        <w:rPr>
          <w:rFonts w:asciiTheme="minorHAnsi" w:hAnsiTheme="minorHAnsi" w:cs="Arial"/>
        </w:rPr>
        <w:tab/>
      </w:r>
      <w:r w:rsidR="00567FDE" w:rsidRPr="00C70D12">
        <w:rPr>
          <w:rFonts w:asciiTheme="minorHAnsi" w:hAnsiTheme="minorHAnsi" w:cs="Arial"/>
        </w:rPr>
        <w:tab/>
      </w:r>
      <w:r w:rsidR="009A401D" w:rsidRPr="00C70D12">
        <w:rPr>
          <w:rFonts w:asciiTheme="minorHAnsi" w:hAnsiTheme="minorHAnsi" w:cs="Arial"/>
        </w:rPr>
        <w:t xml:space="preserve">                       </w:t>
      </w:r>
      <w:r w:rsidR="00567FDE" w:rsidRPr="00C70D12">
        <w:rPr>
          <w:rFonts w:asciiTheme="minorHAnsi" w:hAnsiTheme="minorHAnsi" w:cs="Arial"/>
        </w:rPr>
        <w:t xml:space="preserve">  </w:t>
      </w:r>
      <w:proofErr w:type="spellStart"/>
      <w:r w:rsidRPr="00C70D12">
        <w:rPr>
          <w:rFonts w:asciiTheme="minorHAnsi" w:hAnsiTheme="minorHAnsi" w:cs="Arial"/>
          <w:sz w:val="24"/>
          <w:szCs w:val="24"/>
        </w:rPr>
        <w:t>Hornopotočná</w:t>
      </w:r>
      <w:proofErr w:type="spellEnd"/>
      <w:r w:rsidRPr="00C70D12">
        <w:rPr>
          <w:rFonts w:asciiTheme="minorHAnsi" w:hAnsiTheme="minorHAnsi" w:cs="Arial"/>
          <w:sz w:val="24"/>
          <w:szCs w:val="24"/>
        </w:rPr>
        <w:t xml:space="preserve"> ul. č. 23, 918 43  Trnava</w:t>
      </w:r>
    </w:p>
    <w:p w:rsidR="00325EA9" w:rsidRPr="00C70D12" w:rsidRDefault="00262D6D" w:rsidP="007E3286">
      <w:pPr>
        <w:rPr>
          <w:rFonts w:asciiTheme="minorHAnsi" w:hAnsiTheme="minorHAnsi" w:cs="Arial"/>
          <w:color w:val="FF0000"/>
        </w:rPr>
      </w:pPr>
      <w:r w:rsidRPr="00C70D12">
        <w:rPr>
          <w:rFonts w:asciiTheme="minorHAnsi" w:hAnsiTheme="minorHAnsi" w:cs="Arial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49FE2" wp14:editId="66565AA5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E9823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9A401D" w:rsidRPr="00C70D12">
        <w:rPr>
          <w:rFonts w:asciiTheme="minorHAnsi" w:hAnsiTheme="minorHAnsi" w:cs="Arial"/>
          <w:color w:val="FF0000"/>
        </w:rPr>
        <w:t xml:space="preserve"> </w:t>
      </w: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567FDE" w:rsidRPr="00C70D12" w:rsidRDefault="00567FDE" w:rsidP="007E3286">
      <w:pPr>
        <w:rPr>
          <w:rFonts w:asciiTheme="minorHAnsi" w:hAnsiTheme="minorHAnsi" w:cs="Arial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Súčasti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1A2597">
        <w:rPr>
          <w:rFonts w:asciiTheme="minorHAnsi" w:hAnsiTheme="minorHAnsi" w:cs="Arial"/>
          <w:sz w:val="22"/>
          <w:szCs w:val="22"/>
        </w:rPr>
        <w:t xml:space="preserve"> v Trnave</w:t>
      </w:r>
      <w:r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fakulty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pracoviská univerzity,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účelo</w:t>
      </w:r>
      <w:r w:rsidR="004B7A24" w:rsidRPr="00C70D12">
        <w:rPr>
          <w:rFonts w:asciiTheme="minorHAnsi" w:hAnsiTheme="minorHAnsi" w:cs="Arial"/>
          <w:sz w:val="22"/>
          <w:szCs w:val="22"/>
        </w:rPr>
        <w:t>vé zariadenia univerzity.</w:t>
      </w:r>
    </w:p>
    <w:p w:rsidR="004B7A24" w:rsidRPr="00C70D12" w:rsidRDefault="004B7A24" w:rsidP="009A401D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Na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univerzite </w:t>
      </w:r>
      <w:r w:rsidR="001A2597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pôsobia tieto fakulty: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F</w:t>
      </w:r>
      <w:r w:rsidR="00863026" w:rsidRPr="00C70D12">
        <w:rPr>
          <w:rFonts w:asciiTheme="minorHAnsi" w:hAnsiTheme="minorHAnsi" w:cs="Arial"/>
          <w:sz w:val="22"/>
          <w:szCs w:val="22"/>
        </w:rPr>
        <w:t>ilozofická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(FF)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2. Pedagogická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PdF</w:t>
      </w:r>
      <w:proofErr w:type="spellEnd"/>
      <w:r w:rsidR="00ED6D9C" w:rsidRPr="00C70D12">
        <w:rPr>
          <w:rFonts w:asciiTheme="minorHAnsi" w:hAnsiTheme="minorHAnsi" w:cs="Arial"/>
          <w:sz w:val="22"/>
          <w:szCs w:val="22"/>
        </w:rPr>
        <w:t>)</w:t>
      </w:r>
      <w:r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3. Fakulta zdravotníctva a sociálnej práce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</w:t>
      </w:r>
      <w:proofErr w:type="spellStart"/>
      <w:r w:rsidR="00ED6D9C" w:rsidRPr="00C70D12">
        <w:rPr>
          <w:rFonts w:asciiTheme="minorHAnsi" w:hAnsiTheme="minorHAnsi" w:cs="Arial"/>
          <w:sz w:val="22"/>
          <w:szCs w:val="22"/>
        </w:rPr>
        <w:t>FZaSP</w:t>
      </w:r>
      <w:proofErr w:type="spellEnd"/>
      <w:r w:rsidR="003F6567" w:rsidRPr="00C70D12">
        <w:rPr>
          <w:rFonts w:asciiTheme="minorHAnsi" w:hAnsiTheme="minorHAnsi" w:cs="Arial"/>
          <w:sz w:val="22"/>
          <w:szCs w:val="22"/>
        </w:rPr>
        <w:t>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4. Teologická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(TF)</w:t>
      </w:r>
      <w:r w:rsidR="000600C3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Právnická fakulta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(PF)</w:t>
      </w:r>
      <w:r w:rsidR="000600C3" w:rsidRPr="00C70D12">
        <w:rPr>
          <w:rFonts w:asciiTheme="minorHAnsi" w:hAnsiTheme="minorHAnsi" w:cs="Arial"/>
          <w:sz w:val="22"/>
          <w:szCs w:val="22"/>
        </w:rPr>
        <w:t>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325EA9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Pracoviská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 xml:space="preserve">univerzity </w:t>
      </w:r>
      <w:r w:rsidR="0026550C">
        <w:rPr>
          <w:rFonts w:asciiTheme="minorHAnsi" w:hAnsiTheme="minorHAnsi" w:cs="Arial"/>
          <w:sz w:val="22"/>
          <w:szCs w:val="22"/>
        </w:rPr>
        <w:t xml:space="preserve">v Trnave </w:t>
      </w:r>
      <w:r w:rsidRPr="00C70D12">
        <w:rPr>
          <w:rFonts w:asciiTheme="minorHAnsi" w:hAnsiTheme="minorHAnsi" w:cs="Arial"/>
          <w:sz w:val="22"/>
          <w:szCs w:val="22"/>
        </w:rPr>
        <w:t>sú: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1. </w:t>
      </w:r>
      <w:r w:rsidR="00D07E62" w:rsidRPr="00C70D12">
        <w:rPr>
          <w:rFonts w:asciiTheme="minorHAnsi" w:hAnsiTheme="minorHAnsi" w:cs="Arial"/>
          <w:sz w:val="22"/>
          <w:szCs w:val="22"/>
        </w:rPr>
        <w:t>Rektorát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(RTU)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2. </w:t>
      </w:r>
      <w:r w:rsidR="00D07E62" w:rsidRPr="00C70D12">
        <w:rPr>
          <w:rFonts w:asciiTheme="minorHAnsi" w:hAnsiTheme="minorHAnsi" w:cs="Arial"/>
          <w:sz w:val="22"/>
          <w:szCs w:val="22"/>
        </w:rPr>
        <w:t>Centrum informačných systémov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(CIS)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3. </w:t>
      </w:r>
      <w:r w:rsidR="00D07E62" w:rsidRPr="00C70D12">
        <w:rPr>
          <w:rFonts w:asciiTheme="minorHAnsi" w:hAnsiTheme="minorHAnsi" w:cs="Arial"/>
          <w:sz w:val="22"/>
          <w:szCs w:val="22"/>
        </w:rPr>
        <w:t>Univerzitná knižnica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(UK)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4. </w:t>
      </w:r>
      <w:r w:rsidR="00D07E62" w:rsidRPr="00C70D12">
        <w:rPr>
          <w:rFonts w:asciiTheme="minorHAnsi" w:hAnsiTheme="minorHAnsi" w:cs="Arial"/>
          <w:sz w:val="22"/>
          <w:szCs w:val="22"/>
        </w:rPr>
        <w:t>Vydavateľstvo TYPI UNIVERSTATIS TYRNAVIENSIS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(TUT)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5. Ú</w:t>
      </w:r>
      <w:r w:rsidR="00D07E62" w:rsidRPr="00C70D12">
        <w:rPr>
          <w:rFonts w:asciiTheme="minorHAnsi" w:hAnsiTheme="minorHAnsi" w:cs="Arial"/>
          <w:sz w:val="22"/>
          <w:szCs w:val="22"/>
        </w:rPr>
        <w:t>stav dejín Trnavskej univerzity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(ÚD TU)</w:t>
      </w:r>
      <w:r w:rsidR="00D07E62" w:rsidRPr="00C70D12">
        <w:rPr>
          <w:rFonts w:asciiTheme="minorHAnsi" w:hAnsiTheme="minorHAnsi" w:cs="Arial"/>
          <w:sz w:val="22"/>
          <w:szCs w:val="22"/>
        </w:rPr>
        <w:t>,</w:t>
      </w:r>
    </w:p>
    <w:p w:rsidR="00D07E62" w:rsidRPr="00C70D12" w:rsidRDefault="00D07E62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6. Slovenský historický ústav v</w:t>
      </w:r>
      <w:r w:rsidR="00ED6D9C" w:rsidRPr="00C70D12">
        <w:rPr>
          <w:rFonts w:asciiTheme="minorHAnsi" w:hAnsiTheme="minorHAnsi" w:cs="Arial"/>
          <w:sz w:val="22"/>
          <w:szCs w:val="22"/>
        </w:rPr>
        <w:t> </w:t>
      </w:r>
      <w:r w:rsidRPr="00C70D12">
        <w:rPr>
          <w:rFonts w:asciiTheme="minorHAnsi" w:hAnsiTheme="minorHAnsi" w:cs="Arial"/>
          <w:sz w:val="22"/>
          <w:szCs w:val="22"/>
        </w:rPr>
        <w:t>Ríme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(SHÚ)</w:t>
      </w:r>
      <w:r w:rsidR="00567FDE" w:rsidRPr="00C70D12">
        <w:rPr>
          <w:rFonts w:asciiTheme="minorHAnsi" w:hAnsiTheme="minorHAnsi" w:cs="Arial"/>
          <w:sz w:val="22"/>
          <w:szCs w:val="22"/>
        </w:rPr>
        <w:t>,</w:t>
      </w:r>
    </w:p>
    <w:p w:rsidR="009A2840" w:rsidRPr="00C70D12" w:rsidRDefault="009A284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7. Centrum ďalšieho vzdelávania (CĎV).</w:t>
      </w:r>
    </w:p>
    <w:p w:rsidR="00325EA9" w:rsidRPr="00C70D12" w:rsidRDefault="00325EA9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color w:val="FF0000"/>
          <w:sz w:val="22"/>
          <w:szCs w:val="22"/>
        </w:rPr>
      </w:pPr>
    </w:p>
    <w:p w:rsidR="00567FDE" w:rsidRPr="00C70D12" w:rsidRDefault="00567FDE" w:rsidP="007E3286">
      <w:pPr>
        <w:rPr>
          <w:rFonts w:asciiTheme="minorHAnsi" w:hAnsiTheme="minorHAnsi" w:cs="Arial"/>
          <w:sz w:val="22"/>
          <w:szCs w:val="22"/>
        </w:rPr>
      </w:pPr>
    </w:p>
    <w:p w:rsidR="00325EA9" w:rsidRPr="00C70D12" w:rsidRDefault="00400D9A" w:rsidP="007E3286">
      <w:pPr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 xml:space="preserve">Účelové zariadenie </w:t>
      </w:r>
      <w:r w:rsidR="001A2597">
        <w:rPr>
          <w:rFonts w:asciiTheme="minorHAnsi" w:hAnsiTheme="minorHAnsi" w:cs="Arial"/>
          <w:sz w:val="22"/>
          <w:szCs w:val="22"/>
        </w:rPr>
        <w:t xml:space="preserve">Trnavskej </w:t>
      </w:r>
      <w:r w:rsidRPr="00C70D12">
        <w:rPr>
          <w:rFonts w:asciiTheme="minorHAnsi" w:hAnsiTheme="minorHAnsi" w:cs="Arial"/>
          <w:sz w:val="22"/>
          <w:szCs w:val="22"/>
        </w:rPr>
        <w:t>univerzity</w:t>
      </w:r>
      <w:r w:rsidR="0026550C">
        <w:rPr>
          <w:rFonts w:asciiTheme="minorHAnsi" w:hAnsiTheme="minorHAnsi" w:cs="Arial"/>
          <w:sz w:val="22"/>
          <w:szCs w:val="22"/>
        </w:rPr>
        <w:t xml:space="preserve"> v Trnave</w:t>
      </w:r>
      <w:r w:rsidRPr="00C70D12">
        <w:rPr>
          <w:rFonts w:asciiTheme="minorHAnsi" w:hAnsiTheme="minorHAnsi" w:cs="Arial"/>
          <w:sz w:val="22"/>
          <w:szCs w:val="22"/>
        </w:rPr>
        <w:t xml:space="preserve"> sú</w:t>
      </w:r>
      <w:r w:rsidR="00325EA9" w:rsidRPr="00C70D12">
        <w:rPr>
          <w:rFonts w:asciiTheme="minorHAnsi" w:hAnsiTheme="minorHAnsi" w:cs="Arial"/>
          <w:sz w:val="22"/>
          <w:szCs w:val="22"/>
        </w:rPr>
        <w:t>:</w:t>
      </w:r>
    </w:p>
    <w:p w:rsidR="009A401D" w:rsidRPr="00C70D12" w:rsidRDefault="009A401D" w:rsidP="007E3286">
      <w:pPr>
        <w:rPr>
          <w:rFonts w:asciiTheme="minorHAnsi" w:hAnsiTheme="minorHAnsi" w:cs="Arial"/>
          <w:sz w:val="22"/>
          <w:szCs w:val="22"/>
        </w:rPr>
      </w:pPr>
    </w:p>
    <w:p w:rsidR="00EC7260" w:rsidRPr="00C70D12" w:rsidRDefault="00325EA9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1. Študentská jedáleň</w:t>
      </w:r>
      <w:r w:rsidR="00ED6D9C" w:rsidRPr="00C70D12">
        <w:rPr>
          <w:rFonts w:asciiTheme="minorHAnsi" w:hAnsiTheme="minorHAnsi" w:cs="Arial"/>
          <w:sz w:val="22"/>
          <w:szCs w:val="22"/>
        </w:rPr>
        <w:t xml:space="preserve"> (ŠJ)</w:t>
      </w:r>
      <w:r w:rsidR="00EC7260" w:rsidRPr="00C70D12">
        <w:rPr>
          <w:rFonts w:asciiTheme="minorHAnsi" w:hAnsiTheme="minorHAnsi" w:cs="Arial"/>
          <w:sz w:val="22"/>
          <w:szCs w:val="22"/>
        </w:rPr>
        <w:t>,</w:t>
      </w:r>
    </w:p>
    <w:p w:rsidR="00325EA9" w:rsidRPr="00C70D12" w:rsidRDefault="00EC7260" w:rsidP="009A401D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C70D12">
        <w:rPr>
          <w:rFonts w:asciiTheme="minorHAnsi" w:hAnsiTheme="minorHAnsi" w:cs="Arial"/>
          <w:sz w:val="22"/>
          <w:szCs w:val="22"/>
        </w:rPr>
        <w:t>2</w:t>
      </w:r>
      <w:r w:rsidR="00325EA9" w:rsidRPr="00C70D12">
        <w:rPr>
          <w:rFonts w:asciiTheme="minorHAnsi" w:hAnsiTheme="minorHAnsi" w:cs="Arial"/>
          <w:sz w:val="22"/>
          <w:szCs w:val="22"/>
        </w:rPr>
        <w:t>.</w:t>
      </w:r>
      <w:r w:rsidRPr="00C70D12">
        <w:rPr>
          <w:rFonts w:asciiTheme="minorHAnsi" w:hAnsiTheme="minorHAnsi" w:cs="Arial"/>
          <w:sz w:val="22"/>
          <w:szCs w:val="22"/>
        </w:rPr>
        <w:t xml:space="preserve"> Študentský domov Petra Pázmaňa (ŠD).</w:t>
      </w:r>
    </w:p>
    <w:p w:rsidR="004669CB" w:rsidRPr="00C70D12" w:rsidRDefault="004669CB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7E3286">
      <w:pPr>
        <w:rPr>
          <w:rFonts w:asciiTheme="minorHAnsi" w:hAnsiTheme="minorHAnsi" w:cs="Arial"/>
        </w:rPr>
      </w:pPr>
    </w:p>
    <w:p w:rsidR="0008036A" w:rsidRPr="005E2432" w:rsidRDefault="0008036A" w:rsidP="00C70D12">
      <w:pPr>
        <w:numPr>
          <w:ilvl w:val="0"/>
          <w:numId w:val="1"/>
        </w:numPr>
        <w:spacing w:line="276" w:lineRule="auto"/>
        <w:ind w:left="426" w:hanging="426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5E2432">
        <w:rPr>
          <w:rFonts w:asciiTheme="minorHAnsi" w:hAnsiTheme="minorHAnsi" w:cs="Arial"/>
          <w:b/>
          <w:color w:val="000000" w:themeColor="text1"/>
          <w:sz w:val="26"/>
          <w:szCs w:val="26"/>
        </w:rPr>
        <w:lastRenderedPageBreak/>
        <w:t>ÚVOD</w:t>
      </w:r>
    </w:p>
    <w:p w:rsidR="0008036A" w:rsidRPr="00E30CE9" w:rsidRDefault="0008036A" w:rsidP="00C70D12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08036A" w:rsidRPr="00E30CE9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Výročnú správu o</w:t>
      </w:r>
      <w:r w:rsidR="0011412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hospodárení predkladá Trnavská univerzita v Trnave (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„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Trnavská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univerzita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“) v súlade so zákonom č. 131/2002 </w:t>
      </w:r>
      <w:proofErr w:type="spellStart"/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. § 20 ods. 1 písm. b)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</w:t>
      </w:r>
      <w:r w:rsidR="00DA4EB5" w:rsidRPr="00E30CE9">
        <w:rPr>
          <w:rFonts w:asciiTheme="minorHAnsi" w:hAnsiTheme="minorHAnsi" w:cs="Arial"/>
          <w:color w:val="000000" w:themeColor="text1"/>
          <w:sz w:val="22"/>
          <w:szCs w:val="22"/>
        </w:rPr>
        <w:t>m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etodickým usmernením k výročnej správe o hospodárení verejn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</w:rPr>
        <w:t>ej vysokej školy za rok 201</w:t>
      </w:r>
      <w:r w:rsidR="000C3CEA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AE62D3" w:rsidRPr="00E30CE9">
        <w:rPr>
          <w:rFonts w:asciiTheme="minorHAnsi" w:hAnsiTheme="minorHAnsi" w:cs="Arial"/>
          <w:color w:val="000000" w:themeColor="text1"/>
          <w:sz w:val="22"/>
          <w:szCs w:val="22"/>
        </w:rPr>
        <w:t xml:space="preserve"> a s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mernicou Ministerstva školstva, vedy, výskumu a šport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</w:rPr>
        <w:t>u SR („MŠVV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</w:rPr>
        <w:t>Š SR“) č.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46/2011, ktorou sa určuje forma a termín predkladania výročnej správy o činnosti vysokej školy a výročnej správy o hospodárení vysokej školy.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:rsidR="0008036A" w:rsidRPr="00DA50C2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E30CE9" w:rsidRDefault="0008036A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Výročná správa o hospodárení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</w:t>
      </w:r>
      <w:r w:rsidR="00DA50C2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za rok 201</w:t>
      </w:r>
      <w:r w:rsidR="000C3CE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8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poskytuje obraz o finančnej </w:t>
      </w:r>
      <w:r w:rsidR="006F5AF7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a majetkovej situácii univerzi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ty, analýzu nákladov a výnosov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s osobitným dôrazom na oblasti dôležité pre fungovanie 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univerzity, zúčtovanie použitia dotácií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poskytnutých </w:t>
      </w:r>
      <w:r w:rsidR="00712D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</w:t>
      </w:r>
      <w:r w:rsidR="000363EC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7D25FA" w:rsidRPr="00E30CE9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>prostredníctvom rozpočtu</w:t>
      </w:r>
      <w:r w:rsidR="00A33107" w:rsidRPr="00E30CE9">
        <w:rPr>
          <w:rFonts w:asciiTheme="minorHAnsi" w:hAnsiTheme="minorHAnsi" w:cs="Arial"/>
          <w:bCs/>
          <w:color w:val="000000" w:themeColor="text1"/>
          <w:sz w:val="22"/>
          <w:szCs w:val="22"/>
          <w:lang w:eastAsia="sk-SK"/>
        </w:rPr>
        <w:t xml:space="preserve"> </w:t>
      </w:r>
      <w:r w:rsidR="00A33107" w:rsidRPr="00E30CE9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A33107" w:rsidRPr="00E30CE9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  <w:r w:rsidR="007D25F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Prezentované výsledky zahŕňajú hospodárenie všetkých súčastí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Trnavskej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univerzity -</w:t>
      </w:r>
      <w:r w:rsidR="007D25F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jednotlivých fakúlt a ostatných univerzitných pracovísk a účelových zariadení.</w:t>
      </w:r>
    </w:p>
    <w:p w:rsidR="0008036A" w:rsidRPr="00E30CE9" w:rsidRDefault="0008036A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191F15" w:rsidRPr="00E30CE9" w:rsidRDefault="00BA3C79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Trnavská u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niverzita</w:t>
      </w:r>
      <w:r w:rsidR="000C3CE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hospodárila v roku 2018 na základe rozpočtu na rok 2018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univerzity v súlade so zákonom o VŠ a so zákonom č. 523/2004 </w:t>
      </w:r>
      <w:proofErr w:type="spellStart"/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Z.z</w:t>
      </w:r>
      <w:proofErr w:type="spellEnd"/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 o rozp</w:t>
      </w:r>
      <w:r w:rsidR="004C326C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očtových pravidlách v</w:t>
      </w:r>
      <w:r w:rsidR="004C326C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 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znení neskorších predpisov. </w:t>
      </w:r>
    </w:p>
    <w:p w:rsidR="00191F15" w:rsidRPr="00DA50C2" w:rsidRDefault="00191F15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  <w:lang w:eastAsia="sk-SK"/>
        </w:rPr>
      </w:pPr>
    </w:p>
    <w:p w:rsidR="0008036A" w:rsidRPr="00E30CE9" w:rsidRDefault="009F6994" w:rsidP="00C70D1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Hlavným zdrojom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financovania boli finančné prostriedky pridelené </w:t>
      </w:r>
      <w:r w:rsidR="001F68CE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BA3C79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univerzite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zo štátneho rozpočtu prostredníctvom rozpočtu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</w:rPr>
        <w:t>MŠVV</w:t>
      </w:r>
      <w:r w:rsidR="00195678" w:rsidRPr="00E30CE9">
        <w:rPr>
          <w:rFonts w:asciiTheme="minorHAnsi" w:hAnsiTheme="minorHAnsi" w:cs="Arial"/>
          <w:color w:val="000000" w:themeColor="text1"/>
          <w:sz w:val="22"/>
          <w:szCs w:val="22"/>
        </w:rPr>
        <w:t>a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</w:rPr>
        <w:t>Š SR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, </w:t>
      </w:r>
      <w:r w:rsidR="0008036A"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na základe</w:t>
      </w:r>
      <w:r w:rsidRPr="00E30CE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dotačnej zmluvy a jej dodatkov.</w:t>
      </w:r>
    </w:p>
    <w:p w:rsidR="0008036A" w:rsidRPr="00E30CE9" w:rsidRDefault="00191F15" w:rsidP="00191F1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E30CE9">
        <w:rPr>
          <w:rFonts w:asciiTheme="minorHAnsi" w:hAnsiTheme="minorHAnsi"/>
          <w:color w:val="000000" w:themeColor="text1"/>
          <w:sz w:val="22"/>
          <w:szCs w:val="22"/>
        </w:rPr>
        <w:t>Významnou možnosťou financovania bola aj možnosť využitia nevyčerpanej časti dotácie z predchádzajúceho roka pri dodržaní ustanovenia § 89 zákona o VŠ.</w:t>
      </w:r>
    </w:p>
    <w:p w:rsidR="00060452" w:rsidRPr="00C70D12" w:rsidRDefault="00060452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08036A" w:rsidRPr="00C70D12" w:rsidRDefault="0008036A" w:rsidP="00C70D1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Pr="00C70D1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303C1" w:rsidRPr="00C70D12" w:rsidRDefault="009303C1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60452" w:rsidRDefault="00060452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9F6994" w:rsidRPr="00C70D12" w:rsidRDefault="009F6994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76BA0" w:rsidRDefault="00576BA0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1EF5" w:rsidRPr="00C70D12" w:rsidRDefault="00081EF5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567FDE" w:rsidRPr="00C70D12" w:rsidRDefault="00567FDE" w:rsidP="00C70D12">
      <w:pPr>
        <w:spacing w:line="276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5E2432" w:rsidRDefault="0008036A" w:rsidP="007E3286">
      <w:pPr>
        <w:numPr>
          <w:ilvl w:val="0"/>
          <w:numId w:val="1"/>
        </w:numPr>
        <w:ind w:left="426" w:hanging="426"/>
        <w:rPr>
          <w:rFonts w:asciiTheme="minorHAnsi" w:hAnsiTheme="minorHAnsi" w:cs="Arial"/>
          <w:b/>
          <w:sz w:val="26"/>
          <w:szCs w:val="26"/>
        </w:rPr>
      </w:pPr>
      <w:r w:rsidRPr="005E2432">
        <w:rPr>
          <w:rFonts w:asciiTheme="minorHAnsi" w:hAnsiTheme="minorHAnsi" w:cs="Arial"/>
          <w:b/>
          <w:sz w:val="26"/>
          <w:szCs w:val="26"/>
        </w:rPr>
        <w:lastRenderedPageBreak/>
        <w:t>FINANČNÉ  RIADENIE  A VÝVOJ  HOSPODÁRENIA  UNIVERZITY  V ROKU  201</w:t>
      </w:r>
      <w:r w:rsidR="00AD7A3D" w:rsidRPr="005E2432">
        <w:rPr>
          <w:rFonts w:asciiTheme="minorHAnsi" w:hAnsiTheme="minorHAnsi" w:cs="Arial"/>
          <w:b/>
          <w:sz w:val="26"/>
          <w:szCs w:val="26"/>
        </w:rPr>
        <w:t>8</w:t>
      </w:r>
    </w:p>
    <w:p w:rsidR="00567FDE" w:rsidRPr="00C70D12" w:rsidRDefault="00567FDE" w:rsidP="004A20AB">
      <w:pPr>
        <w:rPr>
          <w:rFonts w:asciiTheme="minorHAnsi" w:hAnsiTheme="minorHAnsi" w:cs="Arial"/>
          <w:b/>
          <w:sz w:val="22"/>
          <w:szCs w:val="22"/>
        </w:rPr>
      </w:pPr>
    </w:p>
    <w:p w:rsidR="0008036A" w:rsidRPr="00C70D12" w:rsidRDefault="0008036A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sz w:val="24"/>
          <w:szCs w:val="24"/>
        </w:rPr>
      </w:pPr>
      <w:r w:rsidRPr="00C70D12">
        <w:rPr>
          <w:rFonts w:asciiTheme="minorHAnsi" w:hAnsiTheme="minorHAnsi" w:cs="Arial"/>
          <w:b/>
          <w:sz w:val="24"/>
          <w:szCs w:val="24"/>
        </w:rPr>
        <w:t>Finančné riadenie univerzity</w:t>
      </w:r>
    </w:p>
    <w:p w:rsidR="001E45C1" w:rsidRDefault="001E45C1" w:rsidP="005C6752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52" w:rsidRPr="00EE50A2" w:rsidRDefault="005C6752" w:rsidP="005C6752">
      <w:pPr>
        <w:spacing w:line="276" w:lineRule="auto"/>
        <w:ind w:firstLine="426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EE50A2">
        <w:rPr>
          <w:rFonts w:ascii="Calibri" w:hAnsi="Calibri" w:cs="Arial"/>
          <w:color w:val="000000" w:themeColor="text1"/>
          <w:sz w:val="22"/>
          <w:szCs w:val="22"/>
        </w:rPr>
        <w:t>Un</w:t>
      </w:r>
      <w:r w:rsidR="00195E20" w:rsidRPr="00EE50A2">
        <w:rPr>
          <w:rFonts w:ascii="Calibri" w:hAnsi="Calibri" w:cs="Arial"/>
          <w:color w:val="000000" w:themeColor="text1"/>
          <w:sz w:val="22"/>
          <w:szCs w:val="22"/>
        </w:rPr>
        <w:t>iverzita v kalendárnom roku 201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>8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 dosiahla kladný hospodá</w:t>
      </w:r>
      <w:r w:rsidR="00724FB2" w:rsidRPr="00EE50A2">
        <w:rPr>
          <w:rFonts w:ascii="Calibri" w:hAnsi="Calibri" w:cs="Arial"/>
          <w:color w:val="000000" w:themeColor="text1"/>
          <w:sz w:val="22"/>
          <w:szCs w:val="22"/>
        </w:rPr>
        <w:t xml:space="preserve">rsky výsledok vo výške 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 xml:space="preserve">  79 237,85 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>Eur /po zdanení/. Z toho zisk z hlavnej činnosti preds</w:t>
      </w:r>
      <w:r w:rsidR="00724FB2" w:rsidRPr="00EE50A2">
        <w:rPr>
          <w:rFonts w:ascii="Calibri" w:hAnsi="Calibri" w:cs="Arial"/>
          <w:color w:val="000000" w:themeColor="text1"/>
          <w:sz w:val="22"/>
          <w:szCs w:val="22"/>
        </w:rPr>
        <w:t xml:space="preserve">tavuje 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 xml:space="preserve">55 042,19 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Eur a z podnikateľskej činnosti 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>24 195,66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 Eur.</w:t>
      </w:r>
      <w:r w:rsidR="001E45C1" w:rsidRPr="00EE50A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00E35BE6" w:rsidRPr="00EE50A2" w:rsidRDefault="005C6752" w:rsidP="00C70D12">
      <w:pPr>
        <w:spacing w:line="276" w:lineRule="auto"/>
        <w:ind w:firstLine="426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EE50A2">
        <w:rPr>
          <w:rFonts w:ascii="Calibri" w:hAnsi="Calibri" w:cs="Arial"/>
          <w:color w:val="000000" w:themeColor="text1"/>
          <w:sz w:val="22"/>
          <w:szCs w:val="22"/>
        </w:rPr>
        <w:t>Jednotlivé súčasti univerzity vykázali väčšinou zisk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>,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 okrem Filozofickej 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>a</w:t>
      </w:r>
      <w:r w:rsidR="001E45C1" w:rsidRPr="00EE50A2">
        <w:rPr>
          <w:rFonts w:ascii="Calibri" w:hAnsi="Calibri" w:cs="Arial"/>
          <w:color w:val="000000" w:themeColor="text1"/>
          <w:sz w:val="22"/>
          <w:szCs w:val="22"/>
        </w:rPr>
        <w:t xml:space="preserve"> Právnickej fakulty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 xml:space="preserve">. Stratu vykázala </w:t>
      </w:r>
      <w:r w:rsidR="001E45C1" w:rsidRPr="00EE50A2">
        <w:rPr>
          <w:rFonts w:ascii="Calibri" w:hAnsi="Calibri" w:cs="Arial"/>
          <w:color w:val="000000" w:themeColor="text1"/>
          <w:sz w:val="22"/>
          <w:szCs w:val="22"/>
        </w:rPr>
        <w:t>aj študentská jedáleň</w:t>
      </w:r>
      <w:r w:rsidR="006256A7" w:rsidRPr="00EE50A2">
        <w:rPr>
          <w:rFonts w:ascii="Calibri" w:hAnsi="Calibri" w:cs="Arial"/>
          <w:color w:val="000000" w:themeColor="text1"/>
          <w:sz w:val="22"/>
          <w:szCs w:val="22"/>
        </w:rPr>
        <w:t xml:space="preserve"> a študentský domov.</w:t>
      </w:r>
    </w:p>
    <w:p w:rsidR="008278C7" w:rsidRPr="00EE50A2" w:rsidRDefault="00E00AFE" w:rsidP="00C70D12">
      <w:pPr>
        <w:spacing w:line="276" w:lineRule="auto"/>
        <w:ind w:firstLine="426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Nasledujúci graf názorne ukazuje priebeh hospodárenia TU za ostatných </w:t>
      </w:r>
      <w:r w:rsidR="00EE50A2" w:rsidRPr="00EE50A2">
        <w:rPr>
          <w:rFonts w:ascii="Calibri" w:hAnsi="Calibri" w:cs="Arial"/>
          <w:color w:val="000000" w:themeColor="text1"/>
          <w:sz w:val="22"/>
          <w:szCs w:val="22"/>
        </w:rPr>
        <w:t>osem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 rokov. Z grafu vyplýva, že z dlhodobého hľadiska TU vykazuje kladný hospodársky výsledok, ktorý kumulatívne za posledných </w:t>
      </w:r>
      <w:r w:rsidR="00EE50A2" w:rsidRPr="00EE50A2">
        <w:rPr>
          <w:rFonts w:ascii="Calibri" w:hAnsi="Calibri" w:cs="Arial"/>
          <w:color w:val="000000" w:themeColor="text1"/>
          <w:sz w:val="22"/>
          <w:szCs w:val="22"/>
        </w:rPr>
        <w:t xml:space="preserve">osem 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rokov dosahuje hodnotu </w:t>
      </w:r>
      <w:r w:rsidR="00EE50A2" w:rsidRPr="008737D7">
        <w:rPr>
          <w:rFonts w:ascii="Calibri" w:hAnsi="Calibri" w:cs="Calibri"/>
          <w:color w:val="000000" w:themeColor="text1"/>
          <w:sz w:val="22"/>
          <w:szCs w:val="22"/>
        </w:rPr>
        <w:t>2 769 533</w:t>
      </w:r>
      <w:r w:rsidR="00EE50A2" w:rsidRPr="00EE50A2">
        <w:rPr>
          <w:rFonts w:ascii="Arial" w:hAnsi="Arial" w:cs="Arial"/>
          <w:b/>
          <w:color w:val="000000" w:themeColor="text1"/>
        </w:rPr>
        <w:t xml:space="preserve"> </w:t>
      </w:r>
      <w:r w:rsidRPr="00EE50A2">
        <w:rPr>
          <w:rFonts w:ascii="Calibri" w:hAnsi="Calibri" w:cs="Arial"/>
          <w:color w:val="000000" w:themeColor="text1"/>
          <w:sz w:val="22"/>
          <w:szCs w:val="22"/>
        </w:rPr>
        <w:t xml:space="preserve"> Eur /po zdanení/.</w:t>
      </w:r>
      <w:r w:rsidR="008278C7" w:rsidRPr="00EE50A2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</w:p>
    <w:p w:rsidR="003F3CC5" w:rsidRPr="00EE50A2" w:rsidRDefault="003F3CC5" w:rsidP="00C70D12">
      <w:pPr>
        <w:spacing w:line="276" w:lineRule="auto"/>
        <w:ind w:firstLine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8036A" w:rsidRPr="00EE50A2" w:rsidRDefault="0008036A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EE50A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 1 </w:t>
      </w:r>
      <w:r w:rsidR="005C6752" w:rsidRPr="00EE50A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- Grafické znázornenie priebehu HV </w:t>
      </w:r>
      <w:r w:rsidRPr="00EE50A2">
        <w:rPr>
          <w:rFonts w:asciiTheme="minorHAnsi" w:hAnsiTheme="minorHAnsi" w:cs="Arial"/>
          <w:i/>
          <w:color w:val="000000" w:themeColor="text1"/>
          <w:sz w:val="22"/>
          <w:szCs w:val="22"/>
        </w:rPr>
        <w:t>(</w:t>
      </w:r>
      <w:r w:rsidR="0034512B" w:rsidRPr="00EE50A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v </w:t>
      </w:r>
      <w:r w:rsidRPr="00EE50A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Eur) </w:t>
      </w:r>
    </w:p>
    <w:p w:rsidR="00405BA9" w:rsidRPr="00EE50A2" w:rsidRDefault="00405BA9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6F39FE" w:rsidRPr="00E22149" w:rsidRDefault="006256A7" w:rsidP="001E45C1">
      <w:pPr>
        <w:jc w:val="both"/>
        <w:rPr>
          <w:rFonts w:ascii="Arial" w:hAnsi="Arial" w:cs="Arial"/>
          <w:color w:val="FF0000"/>
        </w:rPr>
      </w:pPr>
      <w:r>
        <w:rPr>
          <w:rFonts w:ascii="Calibri" w:hAnsi="Calibri"/>
          <w:noProof/>
          <w:sz w:val="24"/>
          <w:lang w:eastAsia="sk-SK"/>
        </w:rPr>
        <w:drawing>
          <wp:inline distT="0" distB="0" distL="0" distR="0" wp14:anchorId="663020C5" wp14:editId="5F6622FF">
            <wp:extent cx="5579110" cy="2486025"/>
            <wp:effectExtent l="0" t="0" r="2540" b="9525"/>
            <wp:docPr id="7" name="Objekt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2928" w:rsidRPr="00E42C11" w:rsidRDefault="00922928" w:rsidP="007E3286">
      <w:pPr>
        <w:ind w:firstLine="567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8036A" w:rsidRPr="00DA7A96" w:rsidRDefault="00576BA0" w:rsidP="007E3286">
      <w:pPr>
        <w:numPr>
          <w:ilvl w:val="1"/>
          <w:numId w:val="1"/>
        </w:numPr>
        <w:ind w:left="426" w:hanging="426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A7A96">
        <w:rPr>
          <w:rFonts w:asciiTheme="minorHAnsi" w:hAnsiTheme="minorHAnsi" w:cs="Arial"/>
          <w:b/>
          <w:color w:val="000000" w:themeColor="text1"/>
          <w:sz w:val="24"/>
          <w:szCs w:val="24"/>
        </w:rPr>
        <w:t>Zdroje financovania univerzity</w:t>
      </w:r>
    </w:p>
    <w:p w:rsidR="00576BA0" w:rsidRPr="00E42C11" w:rsidRDefault="00576BA0" w:rsidP="004A20AB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D76EF0" w:rsidRPr="00D76EF0" w:rsidRDefault="00D76EF0" w:rsidP="00D76EF0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76EF0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1 - Porovnanie zdrojov financovania univerzity v rokoch 2017 a 2018 (v Eur)</w:t>
      </w:r>
    </w:p>
    <w:tbl>
      <w:tblPr>
        <w:tblW w:w="87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9"/>
        <w:gridCol w:w="1346"/>
        <w:gridCol w:w="1509"/>
      </w:tblGrid>
      <w:tr w:rsidR="00D76EF0" w:rsidRPr="00D76EF0" w:rsidTr="004578F2">
        <w:trPr>
          <w:trHeight w:hRule="exact" w:val="413"/>
          <w:jc w:val="right"/>
        </w:trPr>
        <w:tc>
          <w:tcPr>
            <w:tcW w:w="5879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76EF0" w:rsidRPr="00D76EF0" w:rsidRDefault="00D76EF0" w:rsidP="004578F2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D76EF0">
              <w:rPr>
                <w:rFonts w:ascii="Arial" w:eastAsiaTheme="minorHAnsi" w:hAnsi="Arial" w:cs="Arial"/>
                <w:b/>
                <w:lang w:eastAsia="sk-SK"/>
              </w:rPr>
              <w:t>Finančné zdroje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76EF0" w:rsidRPr="00D76EF0" w:rsidRDefault="00D76EF0" w:rsidP="004578F2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D76EF0">
              <w:rPr>
                <w:rFonts w:ascii="Arial" w:eastAsiaTheme="minorHAnsi" w:hAnsi="Arial" w:cs="Arial"/>
                <w:b/>
                <w:lang w:eastAsia="sk-SK"/>
              </w:rPr>
              <w:t>rok 2017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76EF0" w:rsidRPr="00D76EF0" w:rsidRDefault="00D76EF0" w:rsidP="004578F2">
            <w:pPr>
              <w:jc w:val="center"/>
              <w:rPr>
                <w:rFonts w:ascii="Arial" w:eastAsiaTheme="minorHAnsi" w:hAnsi="Arial" w:cs="Arial"/>
                <w:b/>
                <w:lang w:eastAsia="sk-SK"/>
              </w:rPr>
            </w:pPr>
            <w:r w:rsidRPr="00D76EF0">
              <w:rPr>
                <w:rFonts w:ascii="Arial" w:eastAsiaTheme="minorHAnsi" w:hAnsi="Arial" w:cs="Arial"/>
                <w:b/>
                <w:lang w:eastAsia="sk-SK"/>
              </w:rPr>
              <w:t>rok 2018</w:t>
            </w:r>
          </w:p>
        </w:tc>
      </w:tr>
      <w:tr w:rsidR="00D76EF0" w:rsidRPr="00D76EF0" w:rsidTr="004578F2">
        <w:trPr>
          <w:trHeight w:hRule="exact" w:val="498"/>
          <w:jc w:val="right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 xml:space="preserve">celková dotácia MŠVVaŠ  SR (bežné + kapitálové dotácie) </w:t>
            </w:r>
          </w:p>
          <w:p w:rsidR="00D76EF0" w:rsidRPr="00D76EF0" w:rsidRDefault="00D76EF0" w:rsidP="00D76EF0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(program 077, 06K11, 05T08, 0210203)</w:t>
            </w:r>
          </w:p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 w:rsidRPr="00D76EF0">
              <w:rPr>
                <w:rFonts w:ascii="Calibri" w:eastAsiaTheme="minorHAnsi" w:hAnsi="Calibri" w:cstheme="minorBidi"/>
              </w:rPr>
              <w:t>12 483 808,48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  <w:r w:rsidRPr="00D76EF0">
              <w:rPr>
                <w:rFonts w:ascii="Calibri" w:eastAsiaTheme="minorHAnsi" w:hAnsi="Calibri" w:cstheme="minorBidi"/>
              </w:rPr>
              <w:t>13 552 901,20</w:t>
            </w:r>
          </w:p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theme="minorBidi"/>
              </w:rPr>
            </w:pPr>
          </w:p>
        </w:tc>
      </w:tr>
      <w:tr w:rsidR="00D76EF0" w:rsidRPr="00D76EF0" w:rsidTr="004578F2">
        <w:trPr>
          <w:trHeight w:hRule="exact" w:val="614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EF0" w:rsidRDefault="00D76EF0" w:rsidP="004578F2">
            <w:pPr>
              <w:rPr>
                <w:rFonts w:ascii="Calibri" w:eastAsiaTheme="minorHAnsi" w:hAnsi="Calibri" w:cs="Arial"/>
                <w:i/>
              </w:rPr>
            </w:pPr>
          </w:p>
          <w:p w:rsidR="00D76EF0" w:rsidRPr="00D76EF0" w:rsidRDefault="00D76EF0" w:rsidP="004578F2">
            <w:pPr>
              <w:rPr>
                <w:rFonts w:ascii="Calibri" w:eastAsiaTheme="minorHAnsi" w:hAnsi="Calibri" w:cs="Arial"/>
                <w:i/>
              </w:rPr>
            </w:pPr>
            <w:r w:rsidRPr="00D76EF0">
              <w:rPr>
                <w:rFonts w:ascii="Calibri" w:eastAsiaTheme="minorHAnsi" w:hAnsi="Calibri" w:cs="Arial"/>
                <w:i/>
              </w:rPr>
              <w:t xml:space="preserve">z toho: program 077 </w:t>
            </w:r>
          </w:p>
          <w:p w:rsidR="00D76EF0" w:rsidRPr="00D76EF0" w:rsidRDefault="00D76EF0" w:rsidP="004578F2">
            <w:pPr>
              <w:rPr>
                <w:rFonts w:ascii="Calibri" w:eastAsiaTheme="minorHAnsi" w:hAnsi="Calibri" w:cs="Arial"/>
                <w:i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  <w:i/>
              </w:rPr>
            </w:pPr>
            <w:r w:rsidRPr="00D76EF0">
              <w:rPr>
                <w:rFonts w:ascii="Calibri" w:eastAsiaTheme="minorHAnsi" w:hAnsi="Calibri" w:cs="Arial"/>
                <w:i/>
              </w:rPr>
              <w:t>bežné dotácie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76EF0" w:rsidRPr="00D76EF0" w:rsidRDefault="00D76EF0" w:rsidP="004578F2">
            <w:pPr>
              <w:spacing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i/>
                <w:color w:val="000000" w:themeColor="text1"/>
              </w:rPr>
              <w:t>11 848 490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EF0" w:rsidRPr="00D76EF0" w:rsidRDefault="00D76EF0" w:rsidP="004578F2">
            <w:pPr>
              <w:spacing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i/>
                <w:color w:val="000000" w:themeColor="text1"/>
              </w:rPr>
              <w:t>12 618 600</w:t>
            </w:r>
          </w:p>
        </w:tc>
      </w:tr>
      <w:tr w:rsidR="00D76EF0" w:rsidRPr="00D76EF0" w:rsidTr="004578F2">
        <w:trPr>
          <w:trHeight w:hRule="exact" w:val="235"/>
          <w:jc w:val="right"/>
        </w:trPr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  <w:i/>
              </w:rPr>
            </w:pPr>
            <w:r w:rsidRPr="00D76EF0">
              <w:rPr>
                <w:rFonts w:ascii="Calibri" w:eastAsiaTheme="minorHAnsi" w:hAnsi="Calibri" w:cs="Arial"/>
                <w:i/>
              </w:rPr>
              <w:t>kapitálové dotácie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i/>
                <w:color w:val="000000"/>
              </w:rPr>
              <w:t>130</w:t>
            </w:r>
            <w:r w:rsidRPr="00D76EF0">
              <w:rPr>
                <w:rFonts w:ascii="Calibri" w:eastAsiaTheme="minorHAnsi" w:hAnsi="Calibri" w:cs="Arial"/>
                <w:i/>
                <w:color w:val="000000" w:themeColor="text1"/>
              </w:rPr>
              <w:t> 000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EF0" w:rsidRPr="00D76EF0" w:rsidRDefault="00D76EF0" w:rsidP="004578F2">
            <w:pPr>
              <w:spacing w:after="200" w:line="276" w:lineRule="auto"/>
              <w:jc w:val="right"/>
              <w:rPr>
                <w:rFonts w:ascii="Calibri" w:eastAsiaTheme="minorHAnsi" w:hAnsi="Calibri" w:cs="Arial"/>
                <w:i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i/>
                <w:color w:val="000000" w:themeColor="text1"/>
              </w:rPr>
              <w:t>300 000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podnikateľská činnosť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201 832,02</w:t>
            </w:r>
          </w:p>
        </w:tc>
        <w:tc>
          <w:tcPr>
            <w:tcW w:w="15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254 767,52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hlavná činnosť nedotačná</w:t>
            </w:r>
          </w:p>
        </w:tc>
        <w:tc>
          <w:tcPr>
            <w:tcW w:w="1346" w:type="dxa"/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2 003 191,58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1 917 049,77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dary</w:t>
            </w:r>
          </w:p>
        </w:tc>
        <w:tc>
          <w:tcPr>
            <w:tcW w:w="1346" w:type="dxa"/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13 871,00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18 537,75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zahraničné granty</w:t>
            </w:r>
          </w:p>
        </w:tc>
        <w:tc>
          <w:tcPr>
            <w:tcW w:w="1346" w:type="dxa"/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337 833,93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731 699,31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Finančný mechanizmus EHP</w:t>
            </w:r>
          </w:p>
        </w:tc>
        <w:tc>
          <w:tcPr>
            <w:tcW w:w="1346" w:type="dxa"/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1 959,27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0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shd w:val="clear" w:color="auto" w:fill="auto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dotačné prostriedky mimo  MŠVVaŠ SR</w:t>
            </w:r>
          </w:p>
        </w:tc>
        <w:tc>
          <w:tcPr>
            <w:tcW w:w="1346" w:type="dxa"/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128 115,10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43 127</w:t>
            </w:r>
          </w:p>
        </w:tc>
      </w:tr>
      <w:tr w:rsidR="00D76EF0" w:rsidRPr="00D76EF0" w:rsidTr="004578F2">
        <w:trPr>
          <w:trHeight w:hRule="exact" w:val="284"/>
          <w:jc w:val="right"/>
        </w:trPr>
        <w:tc>
          <w:tcPr>
            <w:tcW w:w="5879" w:type="dxa"/>
            <w:shd w:val="clear" w:color="auto" w:fill="BFBFBF" w:themeFill="background1" w:themeFillShade="BF"/>
            <w:noWrap/>
            <w:vAlign w:val="center"/>
          </w:tcPr>
          <w:p w:rsidR="00D76EF0" w:rsidRPr="00D76EF0" w:rsidRDefault="00D76EF0" w:rsidP="004578F2">
            <w:pPr>
              <w:rPr>
                <w:rFonts w:ascii="Calibri" w:eastAsiaTheme="minorHAnsi" w:hAnsi="Calibri" w:cs="Arial"/>
              </w:rPr>
            </w:pPr>
            <w:r w:rsidRPr="00D76EF0">
              <w:rPr>
                <w:rFonts w:ascii="Calibri" w:eastAsiaTheme="minorHAnsi" w:hAnsi="Calibri" w:cs="Arial"/>
              </w:rPr>
              <w:t>SPOLU</w:t>
            </w:r>
          </w:p>
        </w:tc>
        <w:tc>
          <w:tcPr>
            <w:tcW w:w="1346" w:type="dxa"/>
            <w:shd w:val="clear" w:color="auto" w:fill="BFBFBF" w:themeFill="background1" w:themeFillShade="BF"/>
            <w:noWrap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15 170 611,38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76EF0" w:rsidRPr="00D76EF0" w:rsidRDefault="00D76EF0" w:rsidP="004578F2">
            <w:pPr>
              <w:jc w:val="right"/>
              <w:rPr>
                <w:rFonts w:ascii="Calibri" w:eastAsiaTheme="minorHAnsi" w:hAnsi="Calibri" w:cs="Arial"/>
                <w:color w:val="000000" w:themeColor="text1"/>
              </w:rPr>
            </w:pPr>
            <w:r w:rsidRPr="00D76EF0">
              <w:rPr>
                <w:rFonts w:ascii="Calibri" w:eastAsiaTheme="minorHAnsi" w:hAnsi="Calibri" w:cs="Arial"/>
                <w:color w:val="000000" w:themeColor="text1"/>
              </w:rPr>
              <w:t>16 518 082,55</w:t>
            </w:r>
          </w:p>
        </w:tc>
      </w:tr>
    </w:tbl>
    <w:p w:rsidR="00D76EF0" w:rsidRPr="00D76EF0" w:rsidRDefault="00D76EF0" w:rsidP="00D76EF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 hľadiska štruktúry zdrojov bola hlavným zdrojom rozpočtu Trnavskej univerzity dotácia zo štátneho rozpočtu prostredníctvom rozpočtu MŠVVaŠ SR. Z ďalších zdrojov financovania činnosti a rozvoja univerzity bol</w:t>
      </w:r>
      <w:r w:rsidR="008B2C67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t xml:space="preserve"> v sledovanom roku použité najmä školné, poplatky spojené so štúdiom, dary a finančné príspevky fyzických a právnických osôb.</w:t>
      </w:r>
    </w:p>
    <w:p w:rsidR="00D76EF0" w:rsidRPr="000D36BF" w:rsidRDefault="00D76EF0" w:rsidP="00D76EF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t xml:space="preserve">Je nutné konštatovať pokračujúci pokles </w:t>
      </w:r>
      <w:proofErr w:type="spellStart"/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t>mimodotačných</w:t>
      </w:r>
      <w:proofErr w:type="spellEnd"/>
      <w:r w:rsidRPr="00D76EF0">
        <w:rPr>
          <w:rFonts w:asciiTheme="minorHAnsi" w:hAnsiTheme="minorHAnsi" w:cs="Arial"/>
          <w:color w:val="000000" w:themeColor="text1"/>
          <w:sz w:val="22"/>
          <w:szCs w:val="22"/>
        </w:rPr>
        <w:t xml:space="preserve"> tuzemských prostriedkov aj v roku 2018 oproti predchádzajúcim rokom. Pozitívom je opätovný nárast príjmov v podnikateľskej činnosti a nárast zahraničných grantov.</w:t>
      </w:r>
    </w:p>
    <w:p w:rsidR="008F550C" w:rsidRDefault="008F550C" w:rsidP="007E3286">
      <w:pPr>
        <w:jc w:val="both"/>
        <w:rPr>
          <w:rFonts w:asciiTheme="minorHAnsi" w:hAnsiTheme="minorHAnsi" w:cs="Arial"/>
          <w:sz w:val="22"/>
          <w:szCs w:val="22"/>
        </w:rPr>
      </w:pPr>
    </w:p>
    <w:p w:rsidR="00995F86" w:rsidRPr="004A20AB" w:rsidRDefault="00995F86" w:rsidP="007E3286">
      <w:pPr>
        <w:jc w:val="both"/>
        <w:rPr>
          <w:rFonts w:asciiTheme="minorHAnsi" w:hAnsiTheme="minorHAnsi" w:cs="Arial"/>
          <w:sz w:val="22"/>
          <w:szCs w:val="22"/>
        </w:rPr>
      </w:pPr>
    </w:p>
    <w:p w:rsidR="003F3CC5" w:rsidRPr="00EC2AC7" w:rsidRDefault="003F3CC5" w:rsidP="004A20AB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="Arial"/>
          <w:b/>
          <w:color w:val="000000" w:themeColor="text1"/>
        </w:rPr>
      </w:pPr>
      <w:r w:rsidRPr="00EC2AC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Hospodárenie s dotáciami </w:t>
      </w:r>
    </w:p>
    <w:p w:rsidR="003A67D4" w:rsidRPr="003A67D4" w:rsidRDefault="003A67D4" w:rsidP="003A67D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67D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Dotácia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zo štátneho rozpočtu prostredníctvom rozpočtu MŠVVaŠ SR na zabezpečenie vládneho programu 077 Vysokoškolské vzdelávanie a veda, sociálna podpora študentov vysokých škôl bola v roku 2018 poskytnutá Trnavskej univerzite vo výške 12 918 600 Eur (na bežné aj kapitálové výdavky)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v súlade s uzatvorenou zmluvou o poskytnutí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dotácie zo štátneho rozpočtu prostredníctvom MŠVVaŠ SR č. 167/2018 („dotačná zmluva“). </w:t>
      </w:r>
    </w:p>
    <w:p w:rsidR="003A67D4" w:rsidRPr="003A67D4" w:rsidRDefault="003A67D4" w:rsidP="003A67D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V priebehu roka bola upravovaná deviatimi dodatkami: dodatkom k zmluve č. 221/2018, dodatkom k zmluve č. 363/2018, dodatkom k zmluve č. 494/2018, dodatkom k zmluve č. 546/2018, dodatkom k zmluve č. 592/2018, dodatkom k zmluve č. 752/2018, dodatkom k zmluve </w:t>
      </w:r>
      <w:r w:rsidR="0004003D" w:rsidRPr="003A67D4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č. </w:t>
      </w:r>
      <w:r w:rsidR="0004003D"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 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1002/2018, dodatkom k zmluve č. 1114/2018 a dodatkom k zmluve č. 1261/2018.</w:t>
      </w:r>
    </w:p>
    <w:p w:rsidR="003A67D4" w:rsidRPr="003A67D4" w:rsidRDefault="003A67D4" w:rsidP="003A67D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A67D4" w:rsidRPr="003A67D4" w:rsidRDefault="003A67D4" w:rsidP="003A67D4">
      <w:pPr>
        <w:pStyle w:val="Odsekzoznamu"/>
        <w:shd w:val="clear" w:color="auto" w:fill="FFFFFF" w:themeFill="background1"/>
        <w:ind w:left="0" w:firstLine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</w:rPr>
        <w:t>Dotácia na bežné výdavky predstavovala z tejto sumy  12 618 600 Eur (pozri graf č.2):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podprogram 077 11 uskutočňovanie akreditovaných študijných programov a zabezpečenie prevádzky VŠ vo výške 7 876 127 Eur, 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 xml:space="preserve">podprogram 077 12 výskumná, vývojová alebo umelecká činnosť vo výške 3 942 993 Eur  (077 12 01 </w:t>
      </w:r>
      <w:r w:rsidRPr="003A67D4">
        <w:rPr>
          <w:color w:val="000000" w:themeColor="text1"/>
          <w:lang w:eastAsia="sk-SK"/>
        </w:rPr>
        <w:t>prevádzka a rozvoj infraštruktúry pre výskum a vývoj v</w:t>
      </w:r>
      <w:r w:rsidRPr="003A67D4">
        <w:rPr>
          <w:rFonts w:asciiTheme="minorHAnsi" w:hAnsiTheme="minorHAnsi" w:cs="Arial"/>
          <w:color w:val="000000" w:themeColor="text1"/>
          <w:lang w:eastAsia="sk-SK"/>
        </w:rPr>
        <w:t> sume 3 633 937 Eur, 077 12  02 VEGA v sume 234 340 Eur a 077 12 05  KEGA v sume 74 716 Eur),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>podprogram 077 13 rozvoj vysokej školy vo výške 21 906 Eur,</w:t>
      </w:r>
    </w:p>
    <w:p w:rsidR="003A67D4" w:rsidRPr="003A67D4" w:rsidRDefault="003A67D4" w:rsidP="003A67D4">
      <w:pPr>
        <w:pStyle w:val="Odsekzoznamu"/>
        <w:numPr>
          <w:ilvl w:val="0"/>
          <w:numId w:val="10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color w:val="000000" w:themeColor="text1"/>
          <w:lang w:eastAsia="sk-SK"/>
        </w:rPr>
      </w:pPr>
      <w:r w:rsidRPr="003A67D4">
        <w:rPr>
          <w:rFonts w:asciiTheme="minorHAnsi" w:hAnsiTheme="minorHAnsi" w:cs="Arial"/>
          <w:color w:val="000000" w:themeColor="text1"/>
          <w:lang w:eastAsia="sk-SK"/>
        </w:rPr>
        <w:t>a podprogram 077 15 sociálna podpora študentov VŠ  vo výške 777 574 Eur.</w:t>
      </w:r>
    </w:p>
    <w:p w:rsidR="006B43CA" w:rsidRDefault="006B43CA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674EB" w:rsidRDefault="00E42C1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č.2 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– Rozdelenie dotácie (program 077) na bežné výdavky (rok 201</w:t>
      </w:r>
      <w:r w:rsidR="007C1A5F">
        <w:rPr>
          <w:rFonts w:asciiTheme="minorHAnsi" w:hAnsiTheme="minorHAnsi" w:cs="Arial"/>
          <w:i/>
          <w:color w:val="000000" w:themeColor="text1"/>
          <w:sz w:val="22"/>
          <w:szCs w:val="22"/>
        </w:rPr>
        <w:t>8</w:t>
      </w:r>
      <w:r w:rsidR="00FA12E6">
        <w:rPr>
          <w:rFonts w:asciiTheme="minorHAnsi" w:hAnsiTheme="minorHAnsi" w:cs="Arial"/>
          <w:i/>
          <w:color w:val="000000" w:themeColor="text1"/>
          <w:sz w:val="22"/>
          <w:szCs w:val="22"/>
        </w:rPr>
        <w:t>)</w:t>
      </w:r>
    </w:p>
    <w:p w:rsidR="0008036A" w:rsidRPr="007E3286" w:rsidRDefault="0008036A" w:rsidP="00AA34A1">
      <w:pPr>
        <w:jc w:val="right"/>
        <w:rPr>
          <w:rFonts w:ascii="Arial" w:hAnsi="Arial" w:cs="Arial"/>
          <w:color w:val="000000" w:themeColor="text1"/>
        </w:rPr>
      </w:pPr>
      <w:r w:rsidRPr="007E3286">
        <w:rPr>
          <w:rFonts w:ascii="Arial" w:hAnsi="Arial" w:cs="Arial"/>
          <w:noProof/>
          <w:color w:val="000000" w:themeColor="text1"/>
          <w:lang w:eastAsia="sk-SK"/>
        </w:rPr>
        <w:drawing>
          <wp:inline distT="0" distB="0" distL="0" distR="0" wp14:anchorId="78C22289" wp14:editId="4AB3E0C6">
            <wp:extent cx="5543881" cy="165735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3624" w:rsidRDefault="00423624" w:rsidP="003A67D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2176E" w:rsidRDefault="0082176E" w:rsidP="003A67D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A67D4" w:rsidRPr="003A67D4" w:rsidRDefault="003A67D4" w:rsidP="003A67D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MŠVVaŠ SR v roku 2018 vyčlenilo dotačné finančné prostriedky na podporu praktickej výučby študentov v akreditovaných zdravotníckych študijných programoch. Účelovo určené finančné prostriedky použila </w:t>
      </w:r>
      <w:proofErr w:type="spellStart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FZaSP</w:t>
      </w:r>
      <w:proofErr w:type="spellEnd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na pokrytie časti nákladov na zabezpečenie praktickej výučby študentov 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vo Fakultnej nemocnici v Trnave, v</w:t>
      </w:r>
      <w:r w:rsidR="00BF0B08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laboratóriách </w:t>
      </w:r>
      <w:proofErr w:type="spellStart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Analytx</w:t>
      </w:r>
      <w:proofErr w:type="spellEnd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s.r.o</w:t>
      </w:r>
      <w:proofErr w:type="spellEnd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., Laboratóriá Piešťany </w:t>
      </w:r>
      <w:proofErr w:type="spellStart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s.r.o</w:t>
      </w:r>
      <w:proofErr w:type="spellEnd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a </w:t>
      </w:r>
      <w:proofErr w:type="spellStart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Alpha</w:t>
      </w:r>
      <w:proofErr w:type="spellEnd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>medical</w:t>
      </w:r>
      <w:proofErr w:type="spellEnd"/>
      <w:r w:rsidRPr="003A67D4">
        <w:rPr>
          <w:rFonts w:asciiTheme="minorHAnsi" w:hAnsiTheme="minorHAnsi" w:cs="Arial"/>
          <w:color w:val="000000" w:themeColor="text1"/>
          <w:sz w:val="22"/>
          <w:szCs w:val="22"/>
        </w:rPr>
        <w:t xml:space="preserve">, s. r. o.. V roku 2018 bola poskytnutá dotácia vo výške 218 446 Eur. </w:t>
      </w:r>
    </w:p>
    <w:p w:rsidR="00610659" w:rsidRDefault="00610659" w:rsidP="004A20A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995F86" w:rsidRDefault="00995F86" w:rsidP="004A20AB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8036A" w:rsidRPr="00051198" w:rsidRDefault="00675B96" w:rsidP="007E3286">
      <w:pPr>
        <w:ind w:left="426" w:hanging="426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DD2D61">
        <w:rPr>
          <w:rFonts w:asciiTheme="minorHAnsi" w:hAnsiTheme="minorHAnsi" w:cs="Arial"/>
          <w:b/>
          <w:sz w:val="24"/>
          <w:szCs w:val="24"/>
        </w:rPr>
        <w:t>2.4</w:t>
      </w:r>
      <w:r w:rsidR="0008036A" w:rsidRPr="00DD2D61">
        <w:rPr>
          <w:rFonts w:asciiTheme="minorHAnsi" w:hAnsiTheme="minorHAnsi" w:cs="Arial"/>
          <w:b/>
          <w:sz w:val="24"/>
          <w:szCs w:val="24"/>
        </w:rPr>
        <w:t xml:space="preserve">  </w:t>
      </w:r>
      <w:r w:rsidR="0008036A" w:rsidRPr="00051198">
        <w:rPr>
          <w:rFonts w:asciiTheme="minorHAnsi" w:hAnsiTheme="minorHAnsi" w:cs="Arial"/>
          <w:b/>
          <w:color w:val="000000" w:themeColor="text1"/>
          <w:sz w:val="24"/>
          <w:szCs w:val="24"/>
        </w:rPr>
        <w:t>Ľudské zdroje – personálna a mzdová politika</w:t>
      </w:r>
    </w:p>
    <w:p w:rsidR="006C7847" w:rsidRPr="000A3D11" w:rsidRDefault="006C7847" w:rsidP="004A20AB">
      <w:pPr>
        <w:spacing w:line="276" w:lineRule="auto"/>
        <w:jc w:val="both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08036A" w:rsidRPr="00B30F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6C7847"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B30F6A">
        <w:rPr>
          <w:rFonts w:asciiTheme="minorHAnsi" w:hAnsiTheme="minorHAnsi" w:cs="Arial"/>
          <w:i/>
          <w:color w:val="000000" w:themeColor="text1"/>
          <w:sz w:val="22"/>
          <w:szCs w:val="22"/>
        </w:rPr>
        <w:t>.1  Zdroje vyčlenené na mzdy</w:t>
      </w:r>
    </w:p>
    <w:p w:rsidR="00060452" w:rsidRDefault="00060452" w:rsidP="004A20AB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CA5C7F" w:rsidRPr="00CA5C7F" w:rsidRDefault="00CA5C7F" w:rsidP="00CA5C7F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>Trnavská univerzita mala rozpísané dotácie na mzdy podľa schváleného rozpočtu na rok 2018:</w:t>
      </w:r>
    </w:p>
    <w:p w:rsidR="00CA5C7F" w:rsidRPr="00CA5C7F" w:rsidRDefault="00CA5C7F" w:rsidP="00CA5C7F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CA5C7F">
        <w:rPr>
          <w:rFonts w:asciiTheme="minorHAnsi" w:hAnsiTheme="minorHAnsi" w:cs="Arial"/>
          <w:color w:val="000000" w:themeColor="text1"/>
        </w:rPr>
        <w:t>vo funkčnej klasifikácii 09413 (poskytovanie vysokoškolského vzdelávania) v celkovom objeme 4 364 870 Eur, čo predstavuje v porovnaní s rokom 2017 nárast o 514 038 Eur,</w:t>
      </w:r>
    </w:p>
    <w:p w:rsidR="00CA5C7F" w:rsidRPr="00CA5C7F" w:rsidRDefault="00CA5C7F" w:rsidP="00CA5C7F">
      <w:pPr>
        <w:pStyle w:val="Odsekzoznamu"/>
        <w:numPr>
          <w:ilvl w:val="0"/>
          <w:numId w:val="18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CA5C7F">
        <w:rPr>
          <w:rFonts w:asciiTheme="minorHAnsi" w:hAnsiTheme="minorHAnsi" w:cs="Arial"/>
          <w:color w:val="000000" w:themeColor="text1"/>
        </w:rPr>
        <w:t>vo funkčnej klasifikácii 01402 (prevádzka a rozvoj infraštruktúry pre výskum a vývoj) neboli priamo rozpísané dotácie na mzdy a preto Trnavská univerzita určila objem 2 329 791 Eur, čo predstavuje v porovnaní s rokom 2017 pokles o 55 180 Eur.</w:t>
      </w:r>
    </w:p>
    <w:p w:rsidR="00CA5C7F" w:rsidRPr="002C0B82" w:rsidRDefault="00CA5C7F" w:rsidP="00CA5C7F">
      <w:pPr>
        <w:spacing w:line="276" w:lineRule="auto"/>
        <w:ind w:firstLine="426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CA5C7F">
        <w:rPr>
          <w:rFonts w:asciiTheme="minorHAnsi" w:hAnsiTheme="minorHAnsi" w:cs="Arial"/>
          <w:color w:val="000000" w:themeColor="text1"/>
          <w:sz w:val="22"/>
          <w:szCs w:val="22"/>
        </w:rPr>
        <w:t>Porovnanie celkového objemu prostriedkov dotácie MŠVVaŠ SR na programe 077 vyčlenených Trnavskej univerzite na mzdy pre rok 2017 a 2018 znázorňuje graf. č.3.</w:t>
      </w:r>
    </w:p>
    <w:p w:rsidR="00CA5C7F" w:rsidRPr="00B27708" w:rsidRDefault="00CA5C7F" w:rsidP="00CA5C7F">
      <w:pPr>
        <w:ind w:firstLine="426"/>
        <w:jc w:val="both"/>
        <w:rPr>
          <w:rFonts w:ascii="Arial" w:hAnsi="Arial" w:cs="Arial"/>
          <w:color w:val="FF0000"/>
        </w:rPr>
      </w:pPr>
    </w:p>
    <w:p w:rsidR="00423624" w:rsidRDefault="00423624" w:rsidP="007E3286">
      <w:pPr>
        <w:ind w:firstLine="426"/>
        <w:jc w:val="both"/>
        <w:rPr>
          <w:rFonts w:ascii="Arial" w:hAnsi="Arial" w:cs="Arial"/>
          <w:color w:val="FF0000"/>
        </w:rPr>
      </w:pPr>
    </w:p>
    <w:p w:rsidR="0082176E" w:rsidRPr="00B27708" w:rsidRDefault="0082176E" w:rsidP="007E3286">
      <w:pPr>
        <w:ind w:firstLine="426"/>
        <w:jc w:val="both"/>
        <w:rPr>
          <w:rFonts w:ascii="Arial" w:hAnsi="Arial" w:cs="Arial"/>
          <w:color w:val="FF0000"/>
        </w:rPr>
      </w:pPr>
    </w:p>
    <w:p w:rsidR="0008036A" w:rsidRDefault="0008036A" w:rsidP="00890D58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č. 3 </w:t>
      </w:r>
      <w:r w:rsidR="00890D58" w:rsidRPr="002C0B82">
        <w:rPr>
          <w:rFonts w:asciiTheme="minorHAnsi" w:hAnsiTheme="minorHAnsi" w:cs="Arial"/>
          <w:i/>
          <w:color w:val="000000" w:themeColor="text1"/>
          <w:sz w:val="22"/>
          <w:szCs w:val="22"/>
        </w:rPr>
        <w:t>(v Eur)</w:t>
      </w:r>
    </w:p>
    <w:p w:rsidR="0008036A" w:rsidRPr="007E3286" w:rsidRDefault="0008036A" w:rsidP="007E3286">
      <w:pPr>
        <w:jc w:val="right"/>
        <w:rPr>
          <w:rFonts w:ascii="Arial" w:hAnsi="Arial" w:cs="Arial"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6440BCF6" wp14:editId="229E06A8">
            <wp:extent cx="5570220" cy="3398520"/>
            <wp:effectExtent l="0" t="0" r="11430" b="1143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036A" w:rsidRPr="007E3286" w:rsidRDefault="0008036A" w:rsidP="007E3286">
      <w:pPr>
        <w:jc w:val="both"/>
        <w:rPr>
          <w:rFonts w:ascii="Arial" w:hAnsi="Arial" w:cs="Arial"/>
          <w:b/>
          <w:color w:val="000000" w:themeColor="text1"/>
        </w:rPr>
      </w:pPr>
    </w:p>
    <w:p w:rsidR="00CE1EEB" w:rsidRDefault="00CE1EEB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82176E" w:rsidRDefault="0082176E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82176E" w:rsidRDefault="0082176E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82176E" w:rsidRDefault="0082176E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95F86" w:rsidRDefault="00995F86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95F86" w:rsidRDefault="00995F86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732DB" w:rsidRDefault="009732DB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08036A" w:rsidRDefault="0008036A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>2.</w:t>
      </w:r>
      <w:r w:rsidR="005674EB"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>4</w:t>
      </w:r>
      <w:r w:rsidRPr="009E1891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 Čerpanie mzdových prostriedkov </w:t>
      </w:r>
    </w:p>
    <w:p w:rsidR="00657C31" w:rsidRPr="009E1891" w:rsidRDefault="00657C31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3F520B" w:rsidRPr="00D267F3" w:rsidRDefault="003F520B" w:rsidP="007E3286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Štruktúru zdrojov celkových čerpaných mzdových prostriedkov v roku 201</w:t>
      </w:r>
      <w:r w:rsidR="00E61B7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8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A76AD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(vrátane ŠD a ŠJ) </w:t>
      </w:r>
      <w:r w:rsidRPr="00D267F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vyjadruje graf č.4. </w:t>
      </w:r>
    </w:p>
    <w:p w:rsidR="003F520B" w:rsidRDefault="003F520B" w:rsidP="004A20AB">
      <w:pPr>
        <w:spacing w:line="276" w:lineRule="auto"/>
        <w:ind w:firstLine="426"/>
        <w:rPr>
          <w:rFonts w:asciiTheme="minorHAnsi" w:hAnsiTheme="minorHAnsi" w:cs="Arial"/>
          <w:sz w:val="22"/>
          <w:szCs w:val="22"/>
          <w:lang w:eastAsia="sk-SK"/>
        </w:rPr>
      </w:pPr>
    </w:p>
    <w:p w:rsidR="00D267F3" w:rsidRDefault="003F520B" w:rsidP="00567FDE">
      <w:pPr>
        <w:rPr>
          <w:rFonts w:asciiTheme="minorHAnsi" w:hAnsiTheme="minorHAnsi" w:cs="Arial"/>
          <w:i/>
          <w:sz w:val="22"/>
          <w:szCs w:val="22"/>
        </w:rPr>
      </w:pPr>
      <w:r w:rsidRPr="00D267F3">
        <w:rPr>
          <w:rFonts w:asciiTheme="minorHAnsi" w:hAnsiTheme="minorHAnsi" w:cs="Arial"/>
          <w:i/>
          <w:sz w:val="22"/>
          <w:szCs w:val="22"/>
        </w:rPr>
        <w:t>Graf č. 4</w:t>
      </w:r>
      <w:r w:rsidR="005D6FD4" w:rsidRPr="00D267F3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p w:rsidR="00D267F3" w:rsidRDefault="00D267F3" w:rsidP="00567FDE">
      <w:pPr>
        <w:rPr>
          <w:rFonts w:ascii="Arial" w:hAnsi="Arial" w:cs="Arial"/>
          <w:noProof/>
          <w:lang w:eastAsia="sk-SK"/>
        </w:rPr>
      </w:pPr>
    </w:p>
    <w:p w:rsidR="003F520B" w:rsidRPr="007E3286" w:rsidRDefault="003F520B" w:rsidP="00567FDE">
      <w:pPr>
        <w:rPr>
          <w:rFonts w:ascii="Arial" w:hAnsi="Arial" w:cs="Arial"/>
          <w:i/>
        </w:rPr>
      </w:pPr>
      <w:r w:rsidRPr="007E3286">
        <w:rPr>
          <w:rFonts w:ascii="Arial" w:hAnsi="Arial" w:cs="Arial"/>
          <w:noProof/>
          <w:lang w:eastAsia="sk-SK"/>
        </w:rPr>
        <w:drawing>
          <wp:inline distT="0" distB="0" distL="0" distR="0" wp14:anchorId="7B35E961" wp14:editId="5E4725D3">
            <wp:extent cx="5562600" cy="2857500"/>
            <wp:effectExtent l="0" t="0" r="0" b="0"/>
            <wp:docPr id="10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6FD4" w:rsidRDefault="005D6FD4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950229" w:rsidRDefault="00950229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A77527" w:rsidRPr="004A20AB" w:rsidRDefault="00A77527" w:rsidP="004A20AB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  <w:lang w:eastAsia="sk-SK"/>
        </w:rPr>
      </w:pPr>
    </w:p>
    <w:p w:rsidR="003F520B" w:rsidRPr="00143568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Porovnanie celkového čerpania mzdových prostriedkov v roku 201</w:t>
      </w:r>
      <w:r w:rsidR="00E61B7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7</w:t>
      </w:r>
      <w:r w:rsidR="00950229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="00E61B74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a 2018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(v členení podľa zdrojov financovania) vyjadruje </w:t>
      </w:r>
      <w:r w:rsidR="00B85D40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t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abuľka č. </w:t>
      </w:r>
      <w:r w:rsidR="00FF3C7B"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2</w:t>
      </w:r>
      <w:r w:rsidRPr="00143568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.</w:t>
      </w:r>
    </w:p>
    <w:p w:rsidR="00937867" w:rsidRDefault="00937867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82176E" w:rsidRPr="005E0981" w:rsidRDefault="0082176E" w:rsidP="00A77527">
      <w:pPr>
        <w:spacing w:line="276" w:lineRule="auto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3F520B" w:rsidRPr="00143568" w:rsidRDefault="003F520B" w:rsidP="00A77527">
      <w:pPr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  <w:r w:rsidRPr="00143568">
        <w:rPr>
          <w:rFonts w:asciiTheme="minorHAnsi" w:hAnsiTheme="minorHAnsi" w:cs="Arial"/>
          <w:i/>
          <w:sz w:val="22"/>
          <w:szCs w:val="22"/>
        </w:rPr>
        <w:t xml:space="preserve">Tabuľka č. </w:t>
      </w:r>
      <w:r w:rsidR="00BC1294" w:rsidRPr="00143568">
        <w:rPr>
          <w:rFonts w:asciiTheme="minorHAnsi" w:hAnsiTheme="minorHAnsi" w:cs="Arial"/>
          <w:i/>
          <w:sz w:val="22"/>
          <w:szCs w:val="22"/>
        </w:rPr>
        <w:t>2</w:t>
      </w:r>
      <w:r w:rsidRPr="00143568">
        <w:rPr>
          <w:rFonts w:asciiTheme="minorHAnsi" w:hAnsiTheme="minorHAnsi" w:cs="Arial"/>
          <w:i/>
          <w:sz w:val="22"/>
          <w:szCs w:val="22"/>
        </w:rPr>
        <w:t xml:space="preserve"> (v Eur)</w:t>
      </w:r>
    </w:p>
    <w:tbl>
      <w:tblPr>
        <w:tblStyle w:val="Mriekatabuky"/>
        <w:tblW w:w="8830" w:type="dxa"/>
        <w:jc w:val="center"/>
        <w:tblLayout w:type="fixed"/>
        <w:tblLook w:val="04A0" w:firstRow="1" w:lastRow="0" w:firstColumn="1" w:lastColumn="0" w:noHBand="0" w:noVBand="1"/>
      </w:tblPr>
      <w:tblGrid>
        <w:gridCol w:w="5051"/>
        <w:gridCol w:w="1883"/>
        <w:gridCol w:w="1896"/>
      </w:tblGrid>
      <w:tr w:rsidR="00374705" w:rsidRPr="00A77527" w:rsidTr="00374705">
        <w:trPr>
          <w:trHeight w:val="397"/>
          <w:jc w:val="center"/>
        </w:trPr>
        <w:tc>
          <w:tcPr>
            <w:tcW w:w="5051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Zdroj financovania</w:t>
            </w:r>
          </w:p>
        </w:tc>
        <w:tc>
          <w:tcPr>
            <w:tcW w:w="1883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</w:t>
            </w:r>
            <w:r w:rsidR="00E61B7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96" w:type="dxa"/>
            <w:shd w:val="clear" w:color="auto" w:fill="92D050"/>
            <w:vAlign w:val="center"/>
          </w:tcPr>
          <w:p w:rsidR="00374705" w:rsidRPr="00143568" w:rsidRDefault="00374705" w:rsidP="00A77527">
            <w:pPr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rok 201</w:t>
            </w:r>
            <w:r w:rsidR="00E61B74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  <w:tr w:rsidR="00E61B74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E61B74" w:rsidRPr="00143568" w:rsidRDefault="00E61B74" w:rsidP="00E61B74">
            <w:pPr>
              <w:spacing w:line="276" w:lineRule="auto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dotačné </w:t>
            </w:r>
          </w:p>
          <w:p w:rsidR="00E61B74" w:rsidRPr="00143568" w:rsidRDefault="00E61B74" w:rsidP="00E61B74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(z MŠVVaŠ SR na základe dotačných zmlúv)</w:t>
            </w:r>
          </w:p>
        </w:tc>
        <w:tc>
          <w:tcPr>
            <w:tcW w:w="1883" w:type="dxa"/>
            <w:vAlign w:val="center"/>
          </w:tcPr>
          <w:p w:rsidR="00E61B74" w:rsidRPr="007B6042" w:rsidRDefault="00E61B74" w:rsidP="00E61B74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 w:rsidRPr="007B6042">
              <w:rPr>
                <w:rFonts w:asciiTheme="minorHAnsi" w:hAnsiTheme="minorHAnsi" w:cs="Arial"/>
                <w:sz w:val="22"/>
                <w:szCs w:val="22"/>
                <w:lang w:eastAsia="sk-SK"/>
              </w:rPr>
              <w:t>6 846 748</w:t>
            </w:r>
          </w:p>
        </w:tc>
        <w:tc>
          <w:tcPr>
            <w:tcW w:w="1896" w:type="dxa"/>
            <w:vAlign w:val="center"/>
          </w:tcPr>
          <w:p w:rsidR="00E61B74" w:rsidRPr="007B6042" w:rsidRDefault="00423624" w:rsidP="00E61B74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7 265 114</w:t>
            </w:r>
          </w:p>
        </w:tc>
      </w:tr>
      <w:tr w:rsidR="00E61B74" w:rsidRPr="00A77527" w:rsidTr="00374705">
        <w:trPr>
          <w:trHeight w:val="397"/>
          <w:jc w:val="center"/>
        </w:trPr>
        <w:tc>
          <w:tcPr>
            <w:tcW w:w="5051" w:type="dxa"/>
            <w:vAlign w:val="center"/>
          </w:tcPr>
          <w:p w:rsidR="00E61B74" w:rsidRPr="00143568" w:rsidRDefault="00E61B74" w:rsidP="00E61B74">
            <w:pPr>
              <w:spacing w:line="276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proofErr w:type="spellStart"/>
            <w:r w:rsidRPr="00143568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mimodotačné</w:t>
            </w:r>
            <w:proofErr w:type="spellEnd"/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 (ostatné)</w:t>
            </w:r>
          </w:p>
        </w:tc>
        <w:tc>
          <w:tcPr>
            <w:tcW w:w="1883" w:type="dxa"/>
            <w:vAlign w:val="center"/>
          </w:tcPr>
          <w:p w:rsidR="00E61B74" w:rsidRPr="007B6042" w:rsidRDefault="00E61B74" w:rsidP="00E61B74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 w:rsidRPr="007B6042">
              <w:rPr>
                <w:rFonts w:asciiTheme="minorHAnsi" w:hAnsiTheme="minorHAnsi" w:cs="Arial"/>
                <w:sz w:val="22"/>
                <w:szCs w:val="22"/>
                <w:lang w:eastAsia="sk-SK"/>
              </w:rPr>
              <w:t>724 525</w:t>
            </w:r>
          </w:p>
        </w:tc>
        <w:tc>
          <w:tcPr>
            <w:tcW w:w="1896" w:type="dxa"/>
            <w:vAlign w:val="center"/>
          </w:tcPr>
          <w:p w:rsidR="00E61B74" w:rsidRPr="007B6042" w:rsidRDefault="00423624" w:rsidP="00E61B74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649 090</w:t>
            </w:r>
          </w:p>
        </w:tc>
      </w:tr>
      <w:tr w:rsidR="00E61B74" w:rsidRPr="00A77527" w:rsidTr="00374705">
        <w:trPr>
          <w:trHeight w:val="235"/>
          <w:jc w:val="center"/>
        </w:trPr>
        <w:tc>
          <w:tcPr>
            <w:tcW w:w="5051" w:type="dxa"/>
            <w:shd w:val="clear" w:color="auto" w:fill="BFBFBF" w:themeFill="background1" w:themeFillShade="BF"/>
            <w:vAlign w:val="center"/>
          </w:tcPr>
          <w:p w:rsidR="00E61B74" w:rsidRPr="00143568" w:rsidRDefault="00E61B74" w:rsidP="00E61B74">
            <w:pPr>
              <w:spacing w:line="276" w:lineRule="auto"/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3568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SPOLU</w:t>
            </w:r>
          </w:p>
        </w:tc>
        <w:tc>
          <w:tcPr>
            <w:tcW w:w="1883" w:type="dxa"/>
            <w:shd w:val="clear" w:color="auto" w:fill="BFBFBF" w:themeFill="background1" w:themeFillShade="BF"/>
            <w:vAlign w:val="center"/>
          </w:tcPr>
          <w:p w:rsidR="00E61B74" w:rsidRPr="007B6042" w:rsidRDefault="00E61B74" w:rsidP="00E61B74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 w:rsidRPr="007B6042">
              <w:rPr>
                <w:rFonts w:asciiTheme="minorHAnsi" w:hAnsiTheme="minorHAnsi" w:cs="Arial"/>
                <w:sz w:val="22"/>
                <w:szCs w:val="22"/>
                <w:lang w:eastAsia="sk-SK"/>
              </w:rPr>
              <w:t>7 571 273</w:t>
            </w:r>
          </w:p>
        </w:tc>
        <w:tc>
          <w:tcPr>
            <w:tcW w:w="1896" w:type="dxa"/>
            <w:shd w:val="clear" w:color="auto" w:fill="BFBFBF" w:themeFill="background1" w:themeFillShade="BF"/>
            <w:vAlign w:val="center"/>
          </w:tcPr>
          <w:p w:rsidR="00E61B74" w:rsidRPr="007B6042" w:rsidRDefault="00423624" w:rsidP="00E61B74">
            <w:pPr>
              <w:jc w:val="center"/>
              <w:rPr>
                <w:rFonts w:asciiTheme="minorHAnsi" w:hAnsiTheme="minorHAnsi" w:cs="Arial"/>
                <w:sz w:val="22"/>
                <w:szCs w:val="22"/>
                <w:lang w:eastAsia="sk-SK"/>
              </w:rPr>
            </w:pPr>
            <w:r>
              <w:rPr>
                <w:rFonts w:ascii="Arial" w:hAnsi="Arial" w:cs="Arial"/>
              </w:rPr>
              <w:t>7 914 204</w:t>
            </w:r>
          </w:p>
        </w:tc>
      </w:tr>
    </w:tbl>
    <w:p w:rsidR="003F520B" w:rsidRPr="00A77527" w:rsidRDefault="003F520B" w:rsidP="00A77527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7B6042" w:rsidRDefault="007B6042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374705" w:rsidRPr="00E61B74" w:rsidRDefault="00374705" w:rsidP="00374705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>Celkové  čerpanie  mzdových prostriedkov zo všetkých zdrojov un</w:t>
      </w:r>
      <w:r w:rsidR="007B6042">
        <w:rPr>
          <w:rFonts w:asciiTheme="minorHAnsi" w:hAnsiTheme="minorHAnsi" w:cs="Arial"/>
          <w:color w:val="000000" w:themeColor="text1"/>
          <w:sz w:val="22"/>
          <w:szCs w:val="22"/>
        </w:rPr>
        <w:t xml:space="preserve">iverzity </w:t>
      </w:r>
      <w:r w:rsidR="007D131B">
        <w:rPr>
          <w:rFonts w:asciiTheme="minorHAnsi" w:hAnsiTheme="minorHAnsi" w:cs="Arial"/>
          <w:color w:val="000000" w:themeColor="text1"/>
          <w:sz w:val="22"/>
          <w:szCs w:val="22"/>
        </w:rPr>
        <w:t xml:space="preserve">(bez náhrad príjmov z PN) </w:t>
      </w:r>
      <w:r w:rsidR="00E61B74">
        <w:rPr>
          <w:rFonts w:asciiTheme="minorHAnsi" w:hAnsiTheme="minorHAnsi" w:cs="Arial"/>
          <w:color w:val="000000" w:themeColor="text1"/>
          <w:sz w:val="22"/>
          <w:szCs w:val="22"/>
        </w:rPr>
        <w:t>zaznamenalo v roku 2018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v porovnaní s rokom </w:t>
      </w:r>
      <w:r w:rsidR="00E61B74">
        <w:rPr>
          <w:rFonts w:asciiTheme="minorHAnsi" w:hAnsiTheme="minorHAnsi" w:cs="Arial"/>
          <w:color w:val="000000" w:themeColor="text1"/>
          <w:sz w:val="22"/>
          <w:szCs w:val="22"/>
        </w:rPr>
        <w:t>2017</w:t>
      </w:r>
      <w:r w:rsidRPr="003516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3346D">
        <w:rPr>
          <w:rFonts w:asciiTheme="minorHAnsi" w:hAnsiTheme="minorHAnsi" w:cs="Arial"/>
          <w:color w:val="000000" w:themeColor="text1"/>
          <w:sz w:val="22"/>
          <w:szCs w:val="22"/>
        </w:rPr>
        <w:t>nárast o</w:t>
      </w:r>
      <w:r w:rsidR="00A3346D" w:rsidRPr="00A3346D">
        <w:rPr>
          <w:rFonts w:asciiTheme="minorHAnsi" w:hAnsiTheme="minorHAnsi" w:cs="Arial"/>
          <w:color w:val="000000" w:themeColor="text1"/>
          <w:sz w:val="22"/>
          <w:szCs w:val="22"/>
        </w:rPr>
        <w:t> 4,53</w:t>
      </w:r>
      <w:r w:rsidRPr="00A3346D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</w:p>
    <w:p w:rsidR="00834CD2" w:rsidRPr="00374705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834CD2" w:rsidRDefault="00834CD2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82176E" w:rsidRDefault="0082176E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FE7869" w:rsidRDefault="00FE7869" w:rsidP="007E3286">
      <w:pPr>
        <w:ind w:firstLine="426"/>
        <w:jc w:val="both"/>
        <w:rPr>
          <w:rFonts w:asciiTheme="minorHAnsi" w:hAnsiTheme="minorHAnsi" w:cs="Arial"/>
          <w:sz w:val="22"/>
          <w:szCs w:val="22"/>
        </w:rPr>
      </w:pPr>
    </w:p>
    <w:p w:rsidR="005D6FD4" w:rsidRPr="005D42CD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i/>
          <w:color w:val="000000" w:themeColor="text1"/>
          <w:sz w:val="22"/>
          <w:szCs w:val="22"/>
        </w:rPr>
        <w:lastRenderedPageBreak/>
        <w:t xml:space="preserve">Tabuľka č. 3  </w:t>
      </w:r>
    </w:p>
    <w:p w:rsidR="005D6FD4" w:rsidRPr="005D42CD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 w:rsidRPr="005D42CD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/podľa kategórií zamestnancov 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</w:t>
      </w:r>
      <w:r w:rsidR="00EA570D" w:rsidRPr="005D42CD">
        <w:rPr>
          <w:rFonts w:asciiTheme="minorHAnsi" w:hAnsiTheme="minorHAnsi" w:cs="Arial"/>
          <w:color w:val="000000" w:themeColor="text1"/>
          <w:sz w:val="22"/>
          <w:szCs w:val="22"/>
        </w:rPr>
        <w:t>017 – 2018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E7869" w:rsidRPr="005D42CD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priemerná</w:t>
      </w:r>
      <w:r w:rsidR="00280052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mesačná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mzda zamestnancov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bez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/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</w:t>
      </w:r>
      <w:r w:rsidR="00FE7869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/podľa kategórií zamestnancov 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6C11FB"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EA570D" w:rsidRPr="005D42CD">
        <w:rPr>
          <w:rFonts w:asciiTheme="minorHAnsi" w:hAnsiTheme="minorHAnsi" w:cs="Arial"/>
          <w:color w:val="000000" w:themeColor="text1"/>
          <w:sz w:val="22"/>
          <w:szCs w:val="22"/>
        </w:rPr>
        <w:t>7 – 2018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1480"/>
        <w:gridCol w:w="1520"/>
        <w:gridCol w:w="1623"/>
        <w:gridCol w:w="1701"/>
      </w:tblGrid>
      <w:tr w:rsidR="00226F84" w:rsidRPr="00502C9F" w:rsidTr="00226F84">
        <w:trPr>
          <w:trHeight w:val="552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Priemerná</w:t>
            </w:r>
            <w:r w:rsidR="007F4F97"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mesačná</w:t>
            </w: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mzda </w:t>
            </w:r>
          </w:p>
        </w:tc>
      </w:tr>
      <w:tr w:rsidR="00226F84" w:rsidRPr="00502C9F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bez odmien (v Eur)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bez odmien (v Eur)</w:t>
            </w:r>
          </w:p>
        </w:tc>
      </w:tr>
      <w:tr w:rsidR="00226F84" w:rsidRPr="00502C9F" w:rsidTr="00994B00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EA570D"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EA570D"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EA570D" w:rsidRPr="00CB7805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CB7805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EA570D" w:rsidRPr="00CB7805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</w:tr>
      <w:tr w:rsidR="00EA570D" w:rsidRPr="00502C9F" w:rsidTr="00994B00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4 435 551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883621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4 573 104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1 278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24328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1 336</w:t>
            </w:r>
          </w:p>
        </w:tc>
      </w:tr>
      <w:tr w:rsidR="00EA570D" w:rsidRPr="00502C9F" w:rsidTr="00994B00">
        <w:trPr>
          <w:trHeight w:val="52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139 104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883621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152 065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1 044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24328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1 115</w:t>
            </w:r>
          </w:p>
        </w:tc>
      </w:tr>
      <w:tr w:rsidR="00EA570D" w:rsidRPr="00502C9F" w:rsidTr="00994B00">
        <w:trPr>
          <w:trHeight w:val="40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344 646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363 787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24328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 xml:space="preserve">923 </w:t>
            </w:r>
          </w:p>
        </w:tc>
      </w:tr>
      <w:tr w:rsidR="00EA570D" w:rsidRPr="00502C9F" w:rsidTr="00994B00">
        <w:trPr>
          <w:trHeight w:val="45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1 196 401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1 250 550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981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CB780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1 026</w:t>
            </w:r>
          </w:p>
        </w:tc>
      </w:tr>
      <w:tr w:rsidR="00EA570D" w:rsidRPr="00502C9F" w:rsidTr="00994B00">
        <w:trPr>
          <w:trHeight w:val="42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318 465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337 061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CB780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579</w:t>
            </w:r>
          </w:p>
        </w:tc>
      </w:tr>
      <w:tr w:rsidR="00EA570D" w:rsidRPr="00502C9F" w:rsidTr="00994B00">
        <w:trPr>
          <w:trHeight w:val="36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6 434 167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6 676 567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EA570D" w:rsidRPr="00CB7805" w:rsidRDefault="00CB7805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1 160</w:t>
            </w:r>
          </w:p>
        </w:tc>
      </w:tr>
      <w:tr w:rsidR="00EA570D" w:rsidRPr="00502C9F" w:rsidTr="00994B00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  87 487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94 140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637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CB780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 xml:space="preserve">661 </w:t>
            </w:r>
          </w:p>
        </w:tc>
      </w:tr>
      <w:tr w:rsidR="00EA570D" w:rsidRPr="00502C9F" w:rsidTr="00994B00">
        <w:trPr>
          <w:trHeight w:val="315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103 209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>
              <w:rPr>
                <w:rFonts w:ascii="Calibri" w:hAnsi="Calibri"/>
                <w:color w:val="000000" w:themeColor="text1"/>
                <w:lang w:eastAsia="sk-SK"/>
              </w:rPr>
              <w:t>111 490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70D" w:rsidRPr="00CB7805" w:rsidRDefault="00CB7805" w:rsidP="00EA570D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color w:val="000000" w:themeColor="text1"/>
                <w:lang w:eastAsia="sk-SK"/>
              </w:rPr>
              <w:t>740</w:t>
            </w:r>
          </w:p>
        </w:tc>
      </w:tr>
      <w:tr w:rsidR="00EA570D" w:rsidRPr="00502C9F" w:rsidTr="00994B00">
        <w:trPr>
          <w:trHeight w:val="48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 so ŠJ a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6 624 863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A570D" w:rsidRPr="00883621" w:rsidRDefault="003667FF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6 882 197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A570D" w:rsidRPr="00883621" w:rsidRDefault="00EA570D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A570D" w:rsidRPr="00CB7805" w:rsidRDefault="00CB7805" w:rsidP="00EA570D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CB7805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1 138</w:t>
            </w:r>
          </w:p>
        </w:tc>
      </w:tr>
    </w:tbl>
    <w:p w:rsidR="005D6FD4" w:rsidRPr="00502C9F" w:rsidRDefault="005D6FD4" w:rsidP="00FE7869">
      <w:pPr>
        <w:ind w:left="284"/>
        <w:jc w:val="both"/>
        <w:rPr>
          <w:rFonts w:ascii="Arial" w:hAnsi="Arial" w:cs="Arial"/>
          <w:i/>
          <w:color w:val="FF0000"/>
          <w:rtl/>
        </w:rPr>
      </w:pPr>
      <w:r w:rsidRPr="00502C9F">
        <w:rPr>
          <w:rFonts w:asciiTheme="minorHAnsi" w:hAnsiTheme="minorHAnsi" w:cs="Arial"/>
          <w:color w:val="FF0000"/>
          <w:sz w:val="22"/>
          <w:szCs w:val="22"/>
        </w:rPr>
        <w:tab/>
      </w:r>
      <w:r w:rsidRPr="00502C9F">
        <w:rPr>
          <w:rFonts w:asciiTheme="minorHAnsi" w:hAnsiTheme="minorHAnsi" w:cs="Arial"/>
          <w:color w:val="FF0000"/>
          <w:sz w:val="22"/>
          <w:szCs w:val="22"/>
        </w:rPr>
        <w:tab/>
      </w:r>
      <w:r w:rsidRPr="00502C9F">
        <w:rPr>
          <w:rFonts w:ascii="Arial" w:hAnsi="Arial" w:cs="Arial"/>
          <w:color w:val="FF0000"/>
        </w:rPr>
        <w:tab/>
      </w:r>
      <w:r w:rsidRPr="00502C9F">
        <w:rPr>
          <w:rFonts w:ascii="Arial" w:hAnsi="Arial" w:cs="Arial"/>
          <w:i/>
          <w:color w:val="FF0000"/>
        </w:rPr>
        <w:tab/>
      </w:r>
      <w:r w:rsidRPr="00502C9F">
        <w:rPr>
          <w:rFonts w:ascii="Arial" w:hAnsi="Arial" w:cs="Arial"/>
          <w:i/>
          <w:color w:val="FF0000"/>
        </w:rPr>
        <w:tab/>
      </w:r>
      <w:r w:rsidRPr="00502C9F">
        <w:rPr>
          <w:rFonts w:ascii="Arial" w:hAnsi="Arial" w:cs="Arial"/>
          <w:i/>
          <w:color w:val="FF0000"/>
        </w:rPr>
        <w:tab/>
        <w:t xml:space="preserve">              </w:t>
      </w:r>
      <w:r w:rsidRPr="00502C9F">
        <w:rPr>
          <w:rFonts w:ascii="Arial" w:hAnsi="Arial" w:cs="Arial"/>
          <w:i/>
          <w:color w:val="FF0000"/>
        </w:rPr>
        <w:tab/>
      </w:r>
    </w:p>
    <w:p w:rsidR="005D6FD4" w:rsidRPr="005D42CD" w:rsidRDefault="005D6FD4" w:rsidP="007E3286">
      <w:pPr>
        <w:ind w:left="2127" w:hanging="2127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4 </w:t>
      </w:r>
    </w:p>
    <w:p w:rsidR="005D6FD4" w:rsidRPr="005D42CD" w:rsidRDefault="005D6FD4" w:rsidP="007E328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čerpanie mzdových prostriedkov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vrátane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/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financovaných zo všetkých zdrojov /podľa kategórií zamestnancov 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F31EA1" w:rsidRPr="005D42CD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6C11FB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F31EA1" w:rsidRPr="005D42CD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226F84" w:rsidRPr="005D42CD" w:rsidRDefault="005D6FD4" w:rsidP="009A7639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priemerná </w:t>
      </w:r>
      <w:r w:rsidR="00280052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mesačná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mzda zamestnancov /</w:t>
      </w:r>
      <w:r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>vrátane  odmien</w:t>
      </w:r>
      <w:r w:rsidR="00486E7E" w:rsidRPr="005D42CD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a bez náhrad príjmov za PN</w:t>
      </w:r>
      <w:r w:rsidR="00E04A07" w:rsidRPr="005D42CD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financovaných zo všetkých zdrojov </w:t>
      </w:r>
      <w:r w:rsidR="007F7729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/podľa kategórií zamestnancov</w:t>
      </w:r>
      <w:r w:rsidR="001D1D14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univerzity/, za obdobie 201</w:t>
      </w:r>
      <w:r w:rsidR="00F31EA1" w:rsidRPr="005D42CD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6C11FB" w:rsidRPr="005D42CD">
        <w:rPr>
          <w:rFonts w:asciiTheme="minorHAnsi" w:hAnsiTheme="minorHAnsi" w:cs="Arial"/>
          <w:color w:val="000000" w:themeColor="text1"/>
          <w:sz w:val="22"/>
          <w:szCs w:val="22"/>
        </w:rPr>
        <w:t xml:space="preserve"> – 201</w:t>
      </w:r>
      <w:r w:rsidR="00F31EA1" w:rsidRPr="005D42CD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5D42C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tbl>
      <w:tblPr>
        <w:tblW w:w="864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1480"/>
        <w:gridCol w:w="1520"/>
        <w:gridCol w:w="1623"/>
        <w:gridCol w:w="1701"/>
      </w:tblGrid>
      <w:tr w:rsidR="00226F84" w:rsidRPr="00502C9F" w:rsidTr="00226F84">
        <w:trPr>
          <w:trHeight w:val="420"/>
        </w:trPr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5D6FD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Arial" w:hAnsi="Arial" w:cs="Arial"/>
                <w:i/>
                <w:color w:val="000000" w:themeColor="text1"/>
              </w:rPr>
              <w:tab/>
            </w:r>
            <w:r w:rsidRPr="00883621">
              <w:rPr>
                <w:rFonts w:ascii="Arial" w:hAnsi="Arial" w:cs="Arial"/>
                <w:i/>
                <w:color w:val="000000" w:themeColor="text1"/>
              </w:rPr>
              <w:tab/>
            </w:r>
            <w:r w:rsidR="00226F84"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Kategória zamestnancov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Čerpanie mzdových prostriedkov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4F06BE" w:rsidRDefault="00226F84" w:rsidP="00226F84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Priemerná </w:t>
            </w:r>
            <w:r w:rsidR="007F4F97"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mesačná </w:t>
            </w:r>
            <w:r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mzda </w:t>
            </w:r>
          </w:p>
        </w:tc>
      </w:tr>
      <w:tr w:rsidR="00226F84" w:rsidRPr="00502C9F" w:rsidTr="00226F84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vrátane odmien (v Eur)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4F06BE" w:rsidRDefault="00226F84" w:rsidP="00226F84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vrátane odmien (v Eur)</w:t>
            </w:r>
          </w:p>
        </w:tc>
      </w:tr>
      <w:tr w:rsidR="00226F84" w:rsidRPr="00502C9F" w:rsidTr="004F06BE">
        <w:trPr>
          <w:trHeight w:val="300"/>
        </w:trPr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F84" w:rsidRPr="00883621" w:rsidRDefault="00226F84" w:rsidP="00226F84">
            <w:pPr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C50E75"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C50E75"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883621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C50E75" w:rsidRPr="00883621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26F84" w:rsidRPr="004F06BE" w:rsidRDefault="00226F84" w:rsidP="00226F84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201</w:t>
            </w:r>
            <w:r w:rsidR="00C50E75" w:rsidRPr="004F06BE">
              <w:rPr>
                <w:rFonts w:ascii="Calibri" w:hAnsi="Calibri"/>
                <w:b/>
                <w:bCs/>
                <w:i/>
                <w:iCs/>
                <w:color w:val="000000" w:themeColor="text1"/>
                <w:lang w:eastAsia="sk-SK"/>
              </w:rPr>
              <w:t>8</w:t>
            </w: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VŠ učitelia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5 087 538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9272B8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5</w:t>
            </w:r>
            <w:r w:rsidR="00E77241" w:rsidRPr="00883621">
              <w:rPr>
                <w:rFonts w:ascii="Calibri" w:hAnsi="Calibri"/>
                <w:color w:val="000000" w:themeColor="text1"/>
                <w:lang w:eastAsia="sk-SK"/>
              </w:rPr>
              <w:t> </w:t>
            </w:r>
            <w:r w:rsidRPr="00883621">
              <w:rPr>
                <w:rFonts w:ascii="Calibri" w:hAnsi="Calibri"/>
                <w:color w:val="000000" w:themeColor="text1"/>
                <w:lang w:eastAsia="sk-SK"/>
              </w:rPr>
              <w:t>234</w:t>
            </w:r>
            <w:r w:rsidR="00E77241"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</w:t>
            </w:r>
            <w:r w:rsidRPr="00883621">
              <w:rPr>
                <w:rFonts w:ascii="Calibri" w:hAnsi="Calibri"/>
                <w:color w:val="000000" w:themeColor="text1"/>
                <w:lang w:eastAsia="sk-SK"/>
              </w:rPr>
              <w:t>987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1 466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1 529</w:t>
            </w:r>
          </w:p>
        </w:tc>
      </w:tr>
      <w:tr w:rsidR="00C50E75" w:rsidRPr="00502C9F" w:rsidTr="004F06BE">
        <w:trPr>
          <w:trHeight w:val="51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výskumní a vývojoví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153 508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171 200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</w:t>
            </w:r>
            <w:r w:rsidR="004F06BE">
              <w:rPr>
                <w:rFonts w:ascii="Calibri" w:hAnsi="Calibri"/>
                <w:color w:val="000000" w:themeColor="text1"/>
                <w:lang w:eastAsia="sk-SK"/>
              </w:rPr>
              <w:t> </w:t>
            </w:r>
            <w:r w:rsidRPr="00883621">
              <w:rPr>
                <w:rFonts w:ascii="Calibri" w:hAnsi="Calibri"/>
                <w:color w:val="000000" w:themeColor="text1"/>
                <w:lang w:eastAsia="sk-SK"/>
              </w:rPr>
              <w:t>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6BE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</w:p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1 255</w:t>
            </w:r>
          </w:p>
          <w:p w:rsidR="004578F2" w:rsidRPr="004F06BE" w:rsidRDefault="004578F2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odborní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385 415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410 200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968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1 040</w:t>
            </w: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administratívni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1 394 233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1 504 160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1 144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1 234</w:t>
            </w: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prevádzkoví zamestnanci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339 750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367 277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586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631</w:t>
            </w: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7 360 444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7 687 824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1 336</w:t>
            </w: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  97 676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103 890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729</w:t>
            </w:r>
          </w:p>
        </w:tc>
      </w:tr>
      <w:tr w:rsidR="00C50E75" w:rsidRPr="00502C9F" w:rsidTr="004F06BE">
        <w:trPr>
          <w:trHeight w:val="30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ŠD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 xml:space="preserve">              113 153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122 490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color w:val="000000" w:themeColor="text1"/>
                <w:lang w:eastAsia="sk-SK"/>
              </w:rPr>
              <w:t>745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color w:val="000000" w:themeColor="text1"/>
                <w:lang w:eastAsia="sk-SK"/>
              </w:rPr>
              <w:t>813</w:t>
            </w:r>
          </w:p>
        </w:tc>
      </w:tr>
      <w:tr w:rsidR="00C50E75" w:rsidRPr="00502C9F" w:rsidTr="004F06BE">
        <w:trPr>
          <w:trHeight w:val="510"/>
        </w:trPr>
        <w:tc>
          <w:tcPr>
            <w:tcW w:w="2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zamestnanci TU spolu so ŠJ a ŠD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 xml:space="preserve">          7 571 273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883621" w:rsidRDefault="00E77241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7 914 204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883621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1 243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4F06BE" w:rsidRDefault="004F06BE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  <w:r w:rsidRPr="004F06BE">
              <w:rPr>
                <w:rFonts w:ascii="Calibri" w:hAnsi="Calibri"/>
                <w:b/>
                <w:bCs/>
                <w:color w:val="000000" w:themeColor="text1"/>
                <w:lang w:eastAsia="sk-SK"/>
              </w:rPr>
              <w:t>1 308</w:t>
            </w:r>
          </w:p>
        </w:tc>
      </w:tr>
      <w:tr w:rsidR="00C50E75" w:rsidRPr="00502C9F" w:rsidTr="004F06BE">
        <w:trPr>
          <w:trHeight w:val="80"/>
        </w:trPr>
        <w:tc>
          <w:tcPr>
            <w:tcW w:w="2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883621" w:rsidRDefault="00C50E75" w:rsidP="00C50E75">
            <w:pPr>
              <w:jc w:val="center"/>
              <w:rPr>
                <w:rFonts w:ascii="Calibri" w:hAnsi="Calibri"/>
                <w:b/>
                <w:bCs/>
                <w:color w:val="000000" w:themeColor="text1"/>
                <w:lang w:eastAsia="sk-SK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502C9F" w:rsidRDefault="00C50E75" w:rsidP="00C50E75">
            <w:pPr>
              <w:jc w:val="center"/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C50E75" w:rsidRPr="00502C9F" w:rsidRDefault="00C50E75" w:rsidP="00C50E75">
            <w:pPr>
              <w:jc w:val="center"/>
              <w:rPr>
                <w:rFonts w:ascii="Calibri" w:hAnsi="Calibri"/>
                <w:b/>
                <w:bCs/>
                <w:color w:val="FF0000"/>
                <w:lang w:eastAsia="sk-SK"/>
              </w:rPr>
            </w:pPr>
          </w:p>
        </w:tc>
      </w:tr>
    </w:tbl>
    <w:p w:rsidR="009026E9" w:rsidRPr="005F10A6" w:rsidRDefault="005D6FD4" w:rsidP="00995F86">
      <w:pPr>
        <w:ind w:left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02C9F">
        <w:rPr>
          <w:rFonts w:ascii="Arial" w:hAnsi="Arial" w:cs="Arial"/>
          <w:i/>
          <w:color w:val="FF0000"/>
        </w:rPr>
        <w:lastRenderedPageBreak/>
        <w:t xml:space="preserve">          </w:t>
      </w:r>
      <w:r w:rsidR="009026E9" w:rsidRPr="005F10A6">
        <w:rPr>
          <w:rFonts w:asciiTheme="minorHAnsi" w:hAnsiTheme="minorHAnsi" w:cs="Arial"/>
          <w:color w:val="000000" w:themeColor="text1"/>
          <w:sz w:val="22"/>
          <w:szCs w:val="22"/>
        </w:rPr>
        <w:t xml:space="preserve">Priemerná </w:t>
      </w:r>
      <w:r w:rsidR="00D84D20" w:rsidRPr="005F10A6">
        <w:rPr>
          <w:rFonts w:asciiTheme="minorHAnsi" w:hAnsiTheme="minorHAnsi" w:cs="Arial"/>
          <w:color w:val="000000" w:themeColor="text1"/>
          <w:sz w:val="22"/>
          <w:szCs w:val="22"/>
        </w:rPr>
        <w:t xml:space="preserve">mesačná </w:t>
      </w:r>
      <w:r w:rsidR="009026E9" w:rsidRPr="005F10A6">
        <w:rPr>
          <w:rFonts w:asciiTheme="minorHAnsi" w:hAnsiTheme="minorHAnsi" w:cs="Arial"/>
          <w:color w:val="000000" w:themeColor="text1"/>
          <w:sz w:val="22"/>
          <w:szCs w:val="22"/>
        </w:rPr>
        <w:t>mzda zaznamenala za rok 201</w:t>
      </w:r>
      <w:r w:rsidR="008C004E" w:rsidRPr="005F10A6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="009026E9" w:rsidRPr="005F10A6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každej kategórii zamestnancov pozitívny vývoj.</w:t>
      </w:r>
    </w:p>
    <w:p w:rsidR="00834CD2" w:rsidRPr="00125DB7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25DB7">
        <w:rPr>
          <w:rFonts w:asciiTheme="minorHAnsi" w:hAnsiTheme="minorHAnsi" w:cs="Arial"/>
          <w:color w:val="000000" w:themeColor="text1"/>
          <w:sz w:val="22"/>
          <w:szCs w:val="22"/>
        </w:rPr>
        <w:t>Vývoj priemernej mzdy bol ovplyvnený viacerými  faktormi:</w:t>
      </w:r>
    </w:p>
    <w:p w:rsidR="00834CD2" w:rsidRPr="00125DB7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25DB7">
        <w:rPr>
          <w:rFonts w:asciiTheme="minorHAnsi" w:hAnsiTheme="minorHAnsi" w:cs="Arial"/>
          <w:color w:val="000000" w:themeColor="text1"/>
        </w:rPr>
        <w:t>zvyšovanie platových taríf (na základe Nariadení vlády SR),</w:t>
      </w:r>
    </w:p>
    <w:p w:rsidR="00834CD2" w:rsidRPr="00125DB7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25DB7">
        <w:rPr>
          <w:rFonts w:asciiTheme="minorHAnsi" w:hAnsiTheme="minorHAnsi" w:cs="Arial"/>
          <w:color w:val="000000" w:themeColor="text1"/>
        </w:rPr>
        <w:t xml:space="preserve">zmeny v prepočítanom  počte zamestnancov, </w:t>
      </w:r>
    </w:p>
    <w:p w:rsidR="00834CD2" w:rsidRPr="00125DB7" w:rsidRDefault="00834CD2" w:rsidP="00A77527">
      <w:pPr>
        <w:pStyle w:val="Odsekzoznamu"/>
        <w:numPr>
          <w:ilvl w:val="0"/>
          <w:numId w:val="24"/>
        </w:numPr>
        <w:spacing w:after="0"/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125DB7">
        <w:rPr>
          <w:rFonts w:asciiTheme="minorHAnsi" w:hAnsiTheme="minorHAnsi" w:cs="Arial"/>
          <w:color w:val="000000" w:themeColor="text1"/>
        </w:rPr>
        <w:t xml:space="preserve">zmeny v objeme nenárokových zložiek mzdového ohodnotenia zamestnancov. </w:t>
      </w:r>
    </w:p>
    <w:p w:rsidR="00834CD2" w:rsidRPr="00D84D20" w:rsidRDefault="00834CD2" w:rsidP="007E3286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834CD2" w:rsidRPr="00A36A44" w:rsidRDefault="00834CD2" w:rsidP="007E3286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Graf č. 5  Vývoj priemernej</w:t>
      </w:r>
      <w:r w:rsidR="00F463F6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mesačnej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mzdy zamestnancov (vrátane odmien</w:t>
      </w:r>
      <w:r w:rsidR="00F20CBA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, bez náhrad príjmov za PN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) podľa kategórií zamestnancov</w:t>
      </w:r>
      <w:r w:rsidR="00B85D40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Trnavskej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univerzity za obdobie 201</w:t>
      </w:r>
      <w:r w:rsidR="004578F2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>7</w:t>
      </w:r>
      <w:r w:rsidR="008C004E"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2018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 </w:t>
      </w:r>
    </w:p>
    <w:p w:rsidR="00834CD2" w:rsidRPr="00A1369A" w:rsidRDefault="00834CD2" w:rsidP="007E3286">
      <w:pPr>
        <w:jc w:val="right"/>
        <w:rPr>
          <w:rFonts w:ascii="Arial" w:hAnsi="Arial" w:cs="Arial"/>
          <w:i/>
          <w:color w:val="FF0000"/>
        </w:rPr>
      </w:pPr>
    </w:p>
    <w:p w:rsidR="005D6FD4" w:rsidRPr="00A1369A" w:rsidRDefault="00834CD2" w:rsidP="007E3286">
      <w:pPr>
        <w:jc w:val="both"/>
        <w:rPr>
          <w:rFonts w:ascii="Arial" w:hAnsi="Arial" w:cs="Arial"/>
          <w:color w:val="FF0000"/>
        </w:rPr>
      </w:pPr>
      <w:r w:rsidRPr="00A1369A">
        <w:rPr>
          <w:rFonts w:ascii="Arial" w:hAnsi="Arial" w:cs="Arial"/>
          <w:i/>
          <w:noProof/>
          <w:color w:val="FF0000"/>
          <w:lang w:eastAsia="sk-SK"/>
        </w:rPr>
        <w:drawing>
          <wp:inline distT="0" distB="0" distL="0" distR="0" wp14:anchorId="2E2A1CF7" wp14:editId="20A5F2F2">
            <wp:extent cx="5547360" cy="1933575"/>
            <wp:effectExtent l="0" t="0" r="1524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5549" w:rsidRDefault="00834CD2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P</w:t>
      </w:r>
      <w:r w:rsidR="00185549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riemerný prepočítaný počet zamestnancov podľa kategórií zamestnancov a podľa súčastí </w:t>
      </w:r>
      <w:r w:rsidR="005D6FD4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20698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="006B58DA">
        <w:rPr>
          <w:rFonts w:asciiTheme="minorHAnsi" w:hAnsiTheme="minorHAnsi" w:cs="Arial"/>
          <w:color w:val="000000" w:themeColor="text1"/>
          <w:sz w:val="22"/>
          <w:szCs w:val="22"/>
        </w:rPr>
        <w:t>univerzity v rokoch 2017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6B58DA">
        <w:rPr>
          <w:rFonts w:asciiTheme="minorHAnsi" w:hAnsiTheme="minorHAnsi" w:cs="Arial"/>
          <w:color w:val="000000" w:themeColor="text1"/>
          <w:sz w:val="22"/>
          <w:szCs w:val="22"/>
        </w:rPr>
        <w:t>a 2018</w:t>
      </w:r>
      <w:r w:rsidR="00B85D40" w:rsidRPr="001F3059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5</w:t>
      </w:r>
      <w:r w:rsidRPr="001F305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95F86" w:rsidRPr="001F3059" w:rsidRDefault="00995F86" w:rsidP="00A77527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0208A8" w:rsidRPr="004E7C08" w:rsidRDefault="00834CD2" w:rsidP="007E3286">
      <w:pPr>
        <w:ind w:left="1560" w:hanging="1560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Tabuľka č. </w:t>
      </w:r>
      <w:r w:rsidR="001D1D14"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>5</w:t>
      </w:r>
      <w:r w:rsidRPr="004E7C0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</w:p>
    <w:tbl>
      <w:tblPr>
        <w:tblW w:w="4978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"/>
        <w:gridCol w:w="710"/>
        <w:gridCol w:w="706"/>
        <w:gridCol w:w="706"/>
        <w:gridCol w:w="709"/>
        <w:gridCol w:w="708"/>
        <w:gridCol w:w="708"/>
        <w:gridCol w:w="709"/>
        <w:gridCol w:w="708"/>
        <w:gridCol w:w="580"/>
        <w:gridCol w:w="557"/>
        <w:gridCol w:w="709"/>
        <w:gridCol w:w="564"/>
      </w:tblGrid>
      <w:tr w:rsidR="000E69F3" w:rsidRPr="00E135F9" w:rsidTr="000E69F3">
        <w:trPr>
          <w:trHeight w:val="300"/>
        </w:trPr>
        <w:tc>
          <w:tcPr>
            <w:tcW w:w="379" w:type="pct"/>
            <w:vMerge w:val="restart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rPr>
                <w:rFonts w:ascii="Calibri" w:hAnsi="Calibri" w:cs="Arial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4621" w:type="pct"/>
            <w:gridSpan w:val="12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/>
                <w:b/>
                <w:i/>
                <w:sz w:val="24"/>
              </w:rPr>
            </w:pPr>
            <w:r w:rsidRPr="00005456">
              <w:rPr>
                <w:rFonts w:ascii="Calibri" w:hAnsi="Calibri"/>
                <w:b/>
                <w:i/>
                <w:sz w:val="24"/>
              </w:rPr>
              <w:t>Priemerný</w:t>
            </w:r>
            <w:r w:rsidRPr="00005456">
              <w:rPr>
                <w:rFonts w:ascii="Calibri" w:hAnsi="Calibri"/>
                <w:b/>
                <w:sz w:val="24"/>
              </w:rPr>
              <w:t xml:space="preserve"> </w:t>
            </w:r>
            <w:r w:rsidRPr="00005456">
              <w:rPr>
                <w:rFonts w:ascii="Calibri" w:hAnsi="Calibri"/>
                <w:b/>
                <w:i/>
                <w:sz w:val="24"/>
              </w:rPr>
              <w:t>prepočítaný počet zamestnancov</w:t>
            </w:r>
          </w:p>
        </w:tc>
      </w:tr>
      <w:tr w:rsidR="000E69F3" w:rsidRPr="00E135F9" w:rsidTr="000E69F3">
        <w:trPr>
          <w:trHeight w:val="288"/>
        </w:trPr>
        <w:tc>
          <w:tcPr>
            <w:tcW w:w="379" w:type="pct"/>
            <w:vMerge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rPr>
                <w:rFonts w:ascii="Calibri" w:hAnsi="Calibri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810" w:type="pct"/>
            <w:gridSpan w:val="2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VŠ učitelia</w:t>
            </w:r>
          </w:p>
        </w:tc>
        <w:tc>
          <w:tcPr>
            <w:tcW w:w="810" w:type="pct"/>
            <w:gridSpan w:val="2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výskumní a umeleckí pracovníci</w:t>
            </w:r>
          </w:p>
        </w:tc>
        <w:tc>
          <w:tcPr>
            <w:tcW w:w="810" w:type="pct"/>
            <w:gridSpan w:val="2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odborní zamestnanci</w:t>
            </w:r>
          </w:p>
        </w:tc>
        <w:tc>
          <w:tcPr>
            <w:tcW w:w="811" w:type="pct"/>
            <w:gridSpan w:val="2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administratívni pracovníci</w:t>
            </w:r>
          </w:p>
        </w:tc>
        <w:tc>
          <w:tcPr>
            <w:tcW w:w="651" w:type="pct"/>
            <w:gridSpan w:val="2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prevádzkoví pracovníci</w:t>
            </w:r>
          </w:p>
        </w:tc>
        <w:tc>
          <w:tcPr>
            <w:tcW w:w="728" w:type="pct"/>
            <w:gridSpan w:val="2"/>
            <w:shd w:val="clear" w:color="auto" w:fill="92D050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SPOLU</w:t>
            </w:r>
          </w:p>
          <w:p w:rsidR="000E69F3" w:rsidRPr="00005456" w:rsidRDefault="000E69F3" w:rsidP="004578F2">
            <w:pPr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 xml:space="preserve"> </w:t>
            </w:r>
            <w:r w:rsidRPr="00005456">
              <w:rPr>
                <w:rFonts w:ascii="Calibri" w:hAnsi="Calibri" w:cs="Arial"/>
                <w:bCs/>
                <w:color w:val="000000"/>
                <w:sz w:val="16"/>
                <w:szCs w:val="16"/>
                <w:lang w:eastAsia="sk-SK"/>
              </w:rPr>
              <w:t>fakulta resp. pracovisko</w:t>
            </w:r>
          </w:p>
        </w:tc>
      </w:tr>
      <w:tr w:rsidR="000E69F3" w:rsidRPr="00E135F9" w:rsidTr="000E69F3">
        <w:trPr>
          <w:trHeight w:val="288"/>
        </w:trPr>
        <w:tc>
          <w:tcPr>
            <w:tcW w:w="379" w:type="pct"/>
            <w:vMerge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rPr>
                <w:rFonts w:ascii="Calibri" w:hAnsi="Calibri" w:cs="Arial"/>
                <w:b/>
                <w:bCs/>
                <w:color w:val="000000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404" w:type="pct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404" w:type="pct"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406" w:type="pct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405" w:type="pct"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405" w:type="pct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406" w:type="pct"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405" w:type="pct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332" w:type="pct"/>
            <w:shd w:val="clear" w:color="auto" w:fill="92D050"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319" w:type="pct"/>
            <w:shd w:val="clear" w:color="auto" w:fill="92D050"/>
            <w:noWrap/>
            <w:vAlign w:val="center"/>
            <w:hideMark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2018</w:t>
            </w:r>
          </w:p>
        </w:tc>
        <w:tc>
          <w:tcPr>
            <w:tcW w:w="406" w:type="pct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2017</w:t>
            </w:r>
          </w:p>
        </w:tc>
        <w:tc>
          <w:tcPr>
            <w:tcW w:w="322" w:type="pct"/>
            <w:shd w:val="clear" w:color="auto" w:fill="92D050"/>
            <w:vAlign w:val="center"/>
          </w:tcPr>
          <w:p w:rsidR="000E69F3" w:rsidRPr="00005456" w:rsidRDefault="000E69F3" w:rsidP="004578F2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</w:pPr>
            <w:r w:rsidRPr="00005456">
              <w:rPr>
                <w:rFonts w:ascii="Calibri" w:hAnsi="Calibri" w:cs="Arial"/>
                <w:color w:val="000000"/>
                <w:sz w:val="16"/>
                <w:szCs w:val="16"/>
                <w:lang w:eastAsia="sk-SK"/>
              </w:rPr>
              <w:t>2018</w:t>
            </w:r>
          </w:p>
        </w:tc>
      </w:tr>
      <w:tr w:rsidR="000E69F3" w:rsidRPr="00E135F9" w:rsidTr="000E69F3">
        <w:trPr>
          <w:trHeight w:val="368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FF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68,58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68,21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1,12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0,66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11,09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82,79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81,87</w:t>
            </w:r>
          </w:p>
        </w:tc>
      </w:tr>
      <w:tr w:rsidR="000E69F3" w:rsidRPr="00E135F9" w:rsidTr="000E69F3">
        <w:trPr>
          <w:trHeight w:val="275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PdF</w:t>
            </w:r>
            <w:proofErr w:type="spellEnd"/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85,35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89,98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15,77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15,69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104,12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108,67</w:t>
            </w:r>
          </w:p>
        </w:tc>
      </w:tr>
      <w:tr w:rsidR="000E69F3" w:rsidRPr="00E135F9" w:rsidTr="000E69F3">
        <w:trPr>
          <w:trHeight w:val="278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proofErr w:type="spellStart"/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FZaSP</w:t>
            </w:r>
            <w:proofErr w:type="spellEnd"/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58,99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56,26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2,30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14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76,99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74,56</w:t>
            </w:r>
          </w:p>
        </w:tc>
      </w:tr>
      <w:tr w:rsidR="000E69F3" w:rsidRPr="00E135F9" w:rsidTr="000E69F3">
        <w:trPr>
          <w:trHeight w:val="254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TF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27,80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25,65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1,71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3,73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3,52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8,22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3,31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3,32</w:t>
            </w: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44,06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42,20</w:t>
            </w:r>
          </w:p>
        </w:tc>
      </w:tr>
      <w:tr w:rsidR="000E69F3" w:rsidRPr="00E135F9" w:rsidTr="000E69F3">
        <w:trPr>
          <w:trHeight w:val="275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PF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48,43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45,21</w:t>
            </w: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3,98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3,64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11,59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66,41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63,44</w:t>
            </w:r>
          </w:p>
        </w:tc>
      </w:tr>
      <w:tr w:rsidR="000E69F3" w:rsidRPr="00E135F9" w:rsidTr="000E69F3">
        <w:trPr>
          <w:trHeight w:val="264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RTU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40,52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40,37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45,01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45,16</w:t>
            </w: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85,53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85,53</w:t>
            </w:r>
          </w:p>
        </w:tc>
      </w:tr>
      <w:tr w:rsidR="000E69F3" w:rsidRPr="00E135F9" w:rsidTr="000E69F3">
        <w:trPr>
          <w:trHeight w:val="285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UK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  <w:r w:rsidRPr="00477E25">
              <w:rPr>
                <w:rFonts w:ascii="Calibri" w:hAnsi="Calibri" w:cs="Arial"/>
                <w:sz w:val="14"/>
                <w:szCs w:val="14"/>
              </w:rPr>
              <w:t>0</w:t>
            </w: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,</w:t>
            </w:r>
            <w:r w:rsidRPr="00477E25"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  <w:r w:rsidRPr="00477E25">
              <w:rPr>
                <w:rFonts w:ascii="Calibri" w:hAnsi="Calibri" w:cs="Arial"/>
                <w:sz w:val="14"/>
                <w:szCs w:val="14"/>
              </w:rPr>
              <w:t>0</w:t>
            </w: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,</w:t>
            </w:r>
            <w:r w:rsidRPr="00477E25">
              <w:rPr>
                <w:rFonts w:ascii="Calibri" w:hAnsi="Calibri" w:cs="Arial"/>
                <w:sz w:val="14"/>
                <w:szCs w:val="14"/>
              </w:rPr>
              <w:t>94</w:t>
            </w:r>
          </w:p>
        </w:tc>
      </w:tr>
      <w:tr w:rsidR="000E69F3" w:rsidRPr="00E135F9" w:rsidTr="000E69F3">
        <w:trPr>
          <w:trHeight w:val="274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CIS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8</w:t>
            </w:r>
          </w:p>
        </w:tc>
      </w:tr>
      <w:tr w:rsidR="000E69F3" w:rsidRPr="00E135F9" w:rsidTr="000E69F3">
        <w:trPr>
          <w:trHeight w:val="288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ÚD TU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</w:tr>
      <w:tr w:rsidR="000E69F3" w:rsidRPr="00E135F9" w:rsidTr="000E69F3">
        <w:trPr>
          <w:trHeight w:val="270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TUT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1,25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1,25</w:t>
            </w:r>
          </w:p>
        </w:tc>
      </w:tr>
      <w:tr w:rsidR="000E69F3" w:rsidRPr="00E135F9" w:rsidTr="000E69F3">
        <w:trPr>
          <w:trHeight w:val="274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SHÚ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0,06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0,21</w:t>
            </w: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</w:rPr>
              <w:t>0,15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0,21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</w:t>
            </w:r>
            <w:r w:rsidRPr="00477E25">
              <w:rPr>
                <w:rFonts w:ascii="Calibri" w:hAnsi="Calibri" w:cs="Arial"/>
                <w:sz w:val="14"/>
                <w:szCs w:val="14"/>
              </w:rPr>
              <w:t>21</w:t>
            </w:r>
          </w:p>
        </w:tc>
      </w:tr>
      <w:tr w:rsidR="000E69F3" w:rsidRPr="00E135F9" w:rsidTr="000E69F3">
        <w:trPr>
          <w:trHeight w:val="400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CĎV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000000" w:fill="FFFFFF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0,99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0,96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0,99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0,96</w:t>
            </w:r>
          </w:p>
        </w:tc>
      </w:tr>
      <w:tr w:rsidR="000E69F3" w:rsidRPr="00E135F9" w:rsidTr="000E69F3">
        <w:trPr>
          <w:trHeight w:val="420"/>
        </w:trPr>
        <w:tc>
          <w:tcPr>
            <w:tcW w:w="379" w:type="pct"/>
            <w:shd w:val="clear" w:color="auto" w:fill="00B0F0"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SPOLU TU:</w:t>
            </w:r>
          </w:p>
        </w:tc>
        <w:tc>
          <w:tcPr>
            <w:tcW w:w="406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289,15</w:t>
            </w:r>
          </w:p>
        </w:tc>
        <w:tc>
          <w:tcPr>
            <w:tcW w:w="404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285,31</w:t>
            </w:r>
          </w:p>
        </w:tc>
        <w:tc>
          <w:tcPr>
            <w:tcW w:w="404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11,1</w:t>
            </w:r>
          </w:p>
        </w:tc>
        <w:tc>
          <w:tcPr>
            <w:tcW w:w="406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11,37</w:t>
            </w:r>
          </w:p>
        </w:tc>
        <w:tc>
          <w:tcPr>
            <w:tcW w:w="405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33,19</w:t>
            </w:r>
          </w:p>
        </w:tc>
        <w:tc>
          <w:tcPr>
            <w:tcW w:w="405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32,86</w:t>
            </w:r>
          </w:p>
        </w:tc>
        <w:tc>
          <w:tcPr>
            <w:tcW w:w="406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101,59</w:t>
            </w:r>
          </w:p>
        </w:tc>
        <w:tc>
          <w:tcPr>
            <w:tcW w:w="405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101,61</w:t>
            </w:r>
          </w:p>
        </w:tc>
        <w:tc>
          <w:tcPr>
            <w:tcW w:w="332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48,32</w:t>
            </w:r>
          </w:p>
        </w:tc>
        <w:tc>
          <w:tcPr>
            <w:tcW w:w="319" w:type="pct"/>
            <w:shd w:val="clear" w:color="auto" w:fill="00B0F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48,48</w:t>
            </w:r>
          </w:p>
        </w:tc>
        <w:tc>
          <w:tcPr>
            <w:tcW w:w="406" w:type="pct"/>
            <w:shd w:val="clear" w:color="auto" w:fill="00B0F0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483,35</w:t>
            </w:r>
          </w:p>
        </w:tc>
        <w:tc>
          <w:tcPr>
            <w:tcW w:w="322" w:type="pct"/>
            <w:shd w:val="clear" w:color="auto" w:fill="00B0F0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479,63</w:t>
            </w:r>
          </w:p>
        </w:tc>
      </w:tr>
      <w:tr w:rsidR="000E69F3" w:rsidRPr="00E135F9" w:rsidTr="000E69F3">
        <w:trPr>
          <w:trHeight w:val="302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ŠJ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10,44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10,87</w:t>
            </w: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11,44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11,87</w:t>
            </w:r>
          </w:p>
        </w:tc>
      </w:tr>
      <w:tr w:rsidR="000E69F3" w:rsidRPr="00E135F9" w:rsidTr="00B0287D">
        <w:trPr>
          <w:trHeight w:val="243"/>
        </w:trPr>
        <w:tc>
          <w:tcPr>
            <w:tcW w:w="379" w:type="pct"/>
            <w:shd w:val="clear" w:color="auto" w:fill="F2F2F2"/>
            <w:noWrap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ŠD</w:t>
            </w: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4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</w:p>
        </w:tc>
        <w:tc>
          <w:tcPr>
            <w:tcW w:w="406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405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10,65</w:t>
            </w:r>
          </w:p>
        </w:tc>
        <w:tc>
          <w:tcPr>
            <w:tcW w:w="319" w:type="pct"/>
            <w:shd w:val="clear" w:color="auto" w:fill="auto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10,56</w:t>
            </w:r>
          </w:p>
        </w:tc>
        <w:tc>
          <w:tcPr>
            <w:tcW w:w="406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12,65</w:t>
            </w:r>
          </w:p>
        </w:tc>
        <w:tc>
          <w:tcPr>
            <w:tcW w:w="322" w:type="pct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sz w:val="14"/>
                <w:szCs w:val="14"/>
                <w:lang w:eastAsia="sk-SK"/>
              </w:rPr>
              <w:t>12,56</w:t>
            </w:r>
          </w:p>
        </w:tc>
      </w:tr>
      <w:tr w:rsidR="000E69F3" w:rsidRPr="00E135F9" w:rsidTr="000E69F3">
        <w:trPr>
          <w:trHeight w:val="561"/>
        </w:trPr>
        <w:tc>
          <w:tcPr>
            <w:tcW w:w="379" w:type="pct"/>
            <w:shd w:val="clear" w:color="auto" w:fill="92D050"/>
            <w:vAlign w:val="center"/>
            <w:hideMark/>
          </w:tcPr>
          <w:p w:rsidR="000E69F3" w:rsidRPr="004E3465" w:rsidRDefault="000E69F3" w:rsidP="004578F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4E34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sk-SK"/>
              </w:rPr>
              <w:t>SPOLU TU so ŠJ a ŠD</w:t>
            </w:r>
          </w:p>
        </w:tc>
        <w:tc>
          <w:tcPr>
            <w:tcW w:w="406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289,15</w:t>
            </w:r>
          </w:p>
        </w:tc>
        <w:tc>
          <w:tcPr>
            <w:tcW w:w="404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285,31</w:t>
            </w:r>
          </w:p>
        </w:tc>
        <w:tc>
          <w:tcPr>
            <w:tcW w:w="404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11,1</w:t>
            </w:r>
          </w:p>
        </w:tc>
        <w:tc>
          <w:tcPr>
            <w:tcW w:w="406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11,37</w:t>
            </w:r>
          </w:p>
        </w:tc>
        <w:tc>
          <w:tcPr>
            <w:tcW w:w="405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33,19</w:t>
            </w:r>
          </w:p>
        </w:tc>
        <w:tc>
          <w:tcPr>
            <w:tcW w:w="405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32,86</w:t>
            </w:r>
          </w:p>
        </w:tc>
        <w:tc>
          <w:tcPr>
            <w:tcW w:w="406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104,59</w:t>
            </w:r>
          </w:p>
        </w:tc>
        <w:tc>
          <w:tcPr>
            <w:tcW w:w="405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104,61</w:t>
            </w:r>
          </w:p>
        </w:tc>
        <w:tc>
          <w:tcPr>
            <w:tcW w:w="332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69,41</w:t>
            </w:r>
          </w:p>
        </w:tc>
        <w:tc>
          <w:tcPr>
            <w:tcW w:w="319" w:type="pct"/>
            <w:shd w:val="clear" w:color="auto" w:fill="92D050"/>
            <w:noWrap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69,91</w:t>
            </w:r>
          </w:p>
        </w:tc>
        <w:tc>
          <w:tcPr>
            <w:tcW w:w="406" w:type="pct"/>
            <w:shd w:val="clear" w:color="auto" w:fill="92D050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507,44</w:t>
            </w:r>
          </w:p>
        </w:tc>
        <w:tc>
          <w:tcPr>
            <w:tcW w:w="322" w:type="pct"/>
            <w:shd w:val="clear" w:color="auto" w:fill="92D050"/>
            <w:vAlign w:val="center"/>
          </w:tcPr>
          <w:p w:rsidR="000E69F3" w:rsidRPr="00477E25" w:rsidRDefault="000E69F3" w:rsidP="004578F2">
            <w:pPr>
              <w:jc w:val="center"/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</w:pPr>
            <w:r w:rsidRPr="00477E25">
              <w:rPr>
                <w:rFonts w:ascii="Calibri" w:hAnsi="Calibri" w:cs="Arial"/>
                <w:b/>
                <w:bCs/>
                <w:sz w:val="14"/>
                <w:szCs w:val="14"/>
                <w:lang w:eastAsia="sk-SK"/>
              </w:rPr>
              <w:t>504,06</w:t>
            </w:r>
          </w:p>
        </w:tc>
      </w:tr>
    </w:tbl>
    <w:p w:rsidR="00C64958" w:rsidRPr="00AF030B" w:rsidRDefault="00FF24D3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AF030B">
        <w:rPr>
          <w:rFonts w:asciiTheme="minorHAnsi" w:hAnsiTheme="minorHAnsi" w:cs="Arial"/>
          <w:b/>
          <w:color w:val="000000" w:themeColor="text1"/>
          <w:sz w:val="24"/>
          <w:szCs w:val="24"/>
        </w:rPr>
        <w:lastRenderedPageBreak/>
        <w:t>2.5</w:t>
      </w:r>
      <w:r w:rsidR="00F903F6" w:rsidRPr="00AF030B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F</w:t>
      </w:r>
      <w:r w:rsidR="00A26BA5" w:rsidRPr="00AF030B">
        <w:rPr>
          <w:rFonts w:asciiTheme="minorHAnsi" w:hAnsiTheme="minorHAnsi" w:cs="Arial"/>
          <w:b/>
          <w:color w:val="000000" w:themeColor="text1"/>
          <w:sz w:val="24"/>
          <w:szCs w:val="24"/>
        </w:rPr>
        <w:t>inancovanie prevádzkových činností univerzity</w:t>
      </w:r>
    </w:p>
    <w:p w:rsidR="001102E3" w:rsidRPr="00AF030B" w:rsidRDefault="001102E3" w:rsidP="004A20AB">
      <w:pPr>
        <w:spacing w:line="276" w:lineRule="auto"/>
        <w:ind w:firstLine="708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761503" w:rsidRPr="00AF030B" w:rsidRDefault="00761503" w:rsidP="00A4031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Plán tovarov a služieb bol zostavený podľa súčastí </w:t>
      </w:r>
      <w:r w:rsidR="00F04E0F"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>univerzity ako zodpovedných nákladových stredísk, resp. stredísk, kde náklady vznikajú. Pri schvaľovaní rozdelenia dotáci</w:t>
      </w:r>
      <w:r w:rsidR="00E820CC" w:rsidRPr="00AF030B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poskytnut</w:t>
      </w:r>
      <w:r w:rsidR="00E820CC" w:rsidRPr="00AF030B">
        <w:rPr>
          <w:rFonts w:asciiTheme="minorHAnsi" w:hAnsiTheme="minorHAnsi" w:cs="Arial"/>
          <w:color w:val="000000" w:themeColor="text1"/>
          <w:sz w:val="22"/>
          <w:szCs w:val="22"/>
        </w:rPr>
        <w:t>ej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F04E0F"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>univerzite na rok 201</w:t>
      </w:r>
      <w:r w:rsidR="001A546A" w:rsidRPr="00AF030B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v kategórii tovary a ďalšie služby sa prednostne z celkového objemu </w:t>
      </w:r>
      <w:r w:rsidR="00640A97">
        <w:rPr>
          <w:rFonts w:asciiTheme="minorHAnsi" w:hAnsiTheme="minorHAnsi" w:cs="Arial"/>
          <w:color w:val="000000" w:themeColor="text1"/>
          <w:sz w:val="22"/>
          <w:szCs w:val="22"/>
        </w:rPr>
        <w:t>1 460</w:t>
      </w:r>
      <w:r w:rsidR="00EB0994">
        <w:rPr>
          <w:rFonts w:asciiTheme="minorHAnsi" w:hAnsiTheme="minorHAnsi" w:cs="Arial"/>
          <w:color w:val="000000" w:themeColor="text1"/>
          <w:sz w:val="22"/>
          <w:szCs w:val="22"/>
        </w:rPr>
        <w:t xml:space="preserve"> 897 </w:t>
      </w:r>
      <w:r w:rsidR="00A61F6C" w:rsidRPr="00AF030B">
        <w:rPr>
          <w:rFonts w:asciiTheme="minorHAnsi" w:hAnsiTheme="minorHAnsi" w:cs="Arial"/>
          <w:color w:val="000000" w:themeColor="text1"/>
          <w:sz w:val="22"/>
          <w:szCs w:val="22"/>
        </w:rPr>
        <w:t>Eur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vyčlenili f</w:t>
      </w:r>
      <w:r w:rsidR="00A61F6C" w:rsidRPr="00AF030B">
        <w:rPr>
          <w:rFonts w:asciiTheme="minorHAnsi" w:hAnsiTheme="minorHAnsi" w:cs="Arial"/>
          <w:color w:val="000000" w:themeColor="text1"/>
          <w:sz w:val="22"/>
          <w:szCs w:val="22"/>
        </w:rPr>
        <w:t>inančné prostriedky na priority v univerzitných fondoch</w:t>
      </w:r>
      <w:r w:rsidRPr="00AF030B">
        <w:rPr>
          <w:rFonts w:asciiTheme="minorHAnsi" w:hAnsiTheme="minorHAnsi" w:cs="Arial"/>
          <w:color w:val="000000" w:themeColor="text1"/>
          <w:sz w:val="22"/>
          <w:szCs w:val="22"/>
        </w:rPr>
        <w:t xml:space="preserve"> a na zabezpečenie základnej prevádzky univerzity. Plnenie prioritných úloh sa priebežne vyhodnocovalo z hľadiska vecného i finančného plnenia.</w:t>
      </w:r>
      <w:r w:rsidRPr="00AF030B" w:rsidDel="003759F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0C1580" w:rsidRPr="004A20AB" w:rsidRDefault="000C1580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D588F" w:rsidRPr="004A20AB" w:rsidRDefault="004D588F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F36754" w:rsidRPr="008429A1" w:rsidRDefault="001C5703" w:rsidP="007E3286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464E2">
        <w:rPr>
          <w:rFonts w:asciiTheme="minorHAnsi" w:hAnsiTheme="minorHAnsi" w:cs="Arial"/>
          <w:b/>
          <w:sz w:val="24"/>
          <w:szCs w:val="24"/>
        </w:rPr>
        <w:t>2.</w:t>
      </w:r>
      <w:r w:rsidR="00FF24D3" w:rsidRPr="001464E2">
        <w:rPr>
          <w:rFonts w:asciiTheme="minorHAnsi" w:hAnsiTheme="minorHAnsi" w:cs="Arial"/>
          <w:b/>
          <w:sz w:val="24"/>
          <w:szCs w:val="24"/>
        </w:rPr>
        <w:t>6</w:t>
      </w:r>
      <w:r w:rsidRPr="001464E2">
        <w:rPr>
          <w:rFonts w:asciiTheme="minorHAnsi" w:hAnsiTheme="minorHAnsi" w:cs="Arial"/>
          <w:b/>
          <w:sz w:val="24"/>
          <w:szCs w:val="24"/>
        </w:rPr>
        <w:t xml:space="preserve">  </w:t>
      </w:r>
      <w:r w:rsidR="00C64958" w:rsidRPr="001464E2">
        <w:rPr>
          <w:rFonts w:asciiTheme="minorHAnsi" w:hAnsiTheme="minorHAnsi" w:cs="Arial"/>
          <w:b/>
          <w:sz w:val="24"/>
          <w:szCs w:val="24"/>
        </w:rPr>
        <w:t>M</w:t>
      </w:r>
      <w:r w:rsidR="00BB0F27" w:rsidRPr="001464E2">
        <w:rPr>
          <w:rFonts w:asciiTheme="minorHAnsi" w:hAnsiTheme="minorHAnsi" w:cs="Arial"/>
          <w:b/>
          <w:sz w:val="24"/>
          <w:szCs w:val="24"/>
        </w:rPr>
        <w:t>ajetok univerzity</w:t>
      </w:r>
    </w:p>
    <w:p w:rsidR="00C64958" w:rsidRPr="004A20AB" w:rsidRDefault="00C64958" w:rsidP="007E328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E3BA0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Hodnota dlhodobého majetku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univerzity v obstarávacej cene k 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sumu </w:t>
      </w:r>
      <w:r w:rsidRPr="0095352B">
        <w:rPr>
          <w:rFonts w:asciiTheme="minorHAnsi" w:hAnsiTheme="minorHAnsi" w:cs="Arial"/>
          <w:sz w:val="22"/>
          <w:szCs w:val="22"/>
        </w:rPr>
        <w:t xml:space="preserve">38 488 814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Eur. Univerzita vlastnila a evidovala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celkom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 </w:t>
      </w:r>
      <w:r w:rsidRPr="0095352B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pozemkov, 7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budov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a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1 byt.</w:t>
      </w:r>
    </w:p>
    <w:p w:rsidR="007E3BA0" w:rsidRPr="008429A1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Všetky pozemky a budovy sú v katastri mesta Trnava. Nehnuteľný majetok univerzity t. j. budovy, stavby a pozemky mali  spolu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 obstarávaciu cenu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27 945 729</w:t>
      </w:r>
      <w:r w:rsidRPr="00AB57DE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 xml:space="preserve">Eur, čo je navýšenie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o 15 742 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Eur oproti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8429A1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E3BA0" w:rsidRPr="004A20AB" w:rsidRDefault="007E3BA0" w:rsidP="007E3BA0">
      <w:pPr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E3BA0" w:rsidRPr="007C6E03" w:rsidRDefault="007E3BA0" w:rsidP="007E3BA0">
      <w:pPr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Vývoj stavu majetku 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je uvedený v tabuľke č.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E3BA0" w:rsidRPr="007C6E03" w:rsidRDefault="007E3BA0" w:rsidP="007E3BA0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7E3BA0" w:rsidRPr="00D90EFB" w:rsidRDefault="007E3BA0" w:rsidP="007E3BA0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90EFB">
        <w:rPr>
          <w:rFonts w:asciiTheme="minorHAnsi" w:hAnsiTheme="minorHAnsi" w:cs="Arial"/>
          <w:i/>
          <w:color w:val="000000" w:themeColor="text1"/>
          <w:sz w:val="22"/>
          <w:szCs w:val="22"/>
        </w:rPr>
        <w:t>Tabuľka č. 6  (v Eur</w:t>
      </w:r>
      <w:r>
        <w:rPr>
          <w:rFonts w:asciiTheme="minorHAnsi" w:hAnsiTheme="minorHAnsi" w:cs="Arial" w:hint="cs"/>
          <w:i/>
          <w:color w:val="000000" w:themeColor="text1"/>
          <w:sz w:val="22"/>
          <w:szCs w:val="22"/>
          <w:rtl/>
        </w:rPr>
        <w:t>(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2878"/>
        <w:gridCol w:w="2551"/>
        <w:gridCol w:w="2552"/>
      </w:tblGrid>
      <w:tr w:rsidR="007E3BA0" w:rsidRPr="007E3286" w:rsidTr="00BE4917">
        <w:trPr>
          <w:trHeight w:val="312"/>
          <w:jc w:val="center"/>
        </w:trPr>
        <w:tc>
          <w:tcPr>
            <w:tcW w:w="3709" w:type="dxa"/>
            <w:gridSpan w:val="2"/>
            <w:shd w:val="clear" w:color="auto" w:fill="92D050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Druh majetku</w:t>
            </w:r>
          </w:p>
        </w:tc>
        <w:tc>
          <w:tcPr>
            <w:tcW w:w="2551" w:type="dxa"/>
            <w:shd w:val="clear" w:color="auto" w:fill="92D050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Obstarávacia cena</w:t>
            </w:r>
          </w:p>
        </w:tc>
        <w:tc>
          <w:tcPr>
            <w:tcW w:w="2552" w:type="dxa"/>
            <w:shd w:val="clear" w:color="auto" w:fill="92D050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Zostatková cena</w:t>
            </w:r>
          </w:p>
        </w:tc>
      </w:tr>
      <w:tr w:rsidR="007E3BA0" w:rsidRPr="007E3286" w:rsidTr="00BE4917">
        <w:trPr>
          <w:trHeight w:val="312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z toho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s</w:t>
            </w: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oftvér</w:t>
            </w:r>
            <w: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 xml:space="preserve"> a </w:t>
            </w: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ost.nehmot.majetok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3 459 782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159 305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budovy a stavby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27 603 411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19 961 578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prístroje a zariadenia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5 808 113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657 731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dopravné prostriedky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160 069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14 996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drobný dlhodobý majetok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975 944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0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pozemky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342 318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342 318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umelecké diela a zbierky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112 880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831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878" w:type="dxa"/>
            <w:shd w:val="clear" w:color="000000" w:fill="EAF1DD"/>
            <w:noWrap/>
            <w:vAlign w:val="center"/>
            <w:hideMark/>
          </w:tcPr>
          <w:p w:rsidR="007E3BA0" w:rsidRPr="007C6E03" w:rsidRDefault="007E3BA0" w:rsidP="00BE4917">
            <w:pPr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nezaradené investície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26 297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lang w:eastAsia="sk-SK"/>
              </w:rPr>
              <w:t>26 297</w:t>
            </w:r>
          </w:p>
        </w:tc>
      </w:tr>
      <w:tr w:rsidR="007E3BA0" w:rsidRPr="007E3286" w:rsidTr="00BE4917">
        <w:trPr>
          <w:trHeight w:val="300"/>
          <w:jc w:val="center"/>
        </w:trPr>
        <w:tc>
          <w:tcPr>
            <w:tcW w:w="3709" w:type="dxa"/>
            <w:gridSpan w:val="2"/>
            <w:shd w:val="clear" w:color="auto" w:fill="00B0F0"/>
            <w:noWrap/>
            <w:vAlign w:val="center"/>
            <w:hideMark/>
          </w:tcPr>
          <w:p w:rsidR="007E3BA0" w:rsidRPr="007C6E03" w:rsidRDefault="007E3BA0" w:rsidP="00BE4917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</w:pPr>
            <w:r w:rsidRPr="007C6E03">
              <w:rPr>
                <w:rFonts w:asciiTheme="minorHAnsi" w:hAnsiTheme="minorHAnsi" w:cs="Arial"/>
                <w:b/>
                <w:bCs/>
                <w:color w:val="000000"/>
                <w:lang w:eastAsia="sk-SK"/>
              </w:rPr>
              <w:t>Dlhodobý majetok spolu</w:t>
            </w:r>
          </w:p>
        </w:tc>
        <w:tc>
          <w:tcPr>
            <w:tcW w:w="2551" w:type="dxa"/>
            <w:shd w:val="clear" w:color="auto" w:fill="00B0F0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38 488 814</w:t>
            </w:r>
          </w:p>
        </w:tc>
        <w:tc>
          <w:tcPr>
            <w:tcW w:w="2552" w:type="dxa"/>
            <w:shd w:val="clear" w:color="auto" w:fill="00B0F0"/>
            <w:noWrap/>
            <w:vAlign w:val="center"/>
          </w:tcPr>
          <w:p w:rsidR="007E3BA0" w:rsidRPr="00476760" w:rsidRDefault="007E3BA0" w:rsidP="00BE4917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lang w:eastAsia="sk-SK"/>
              </w:rPr>
              <w:t>21 275 105</w:t>
            </w:r>
          </w:p>
        </w:tc>
      </w:tr>
    </w:tbl>
    <w:p w:rsidR="007E3BA0" w:rsidRPr="007E3286" w:rsidRDefault="007E3BA0" w:rsidP="007E3BA0">
      <w:pPr>
        <w:ind w:left="2124" w:firstLine="708"/>
        <w:jc w:val="center"/>
        <w:rPr>
          <w:rFonts w:ascii="Arial" w:hAnsi="Arial" w:cs="Arial"/>
          <w:i/>
          <w:color w:val="000000" w:themeColor="text1"/>
          <w:rtl/>
        </w:rPr>
      </w:pPr>
      <w:r w:rsidRPr="007E3286">
        <w:rPr>
          <w:rFonts w:ascii="Arial" w:hAnsi="Arial" w:cs="Arial"/>
          <w:i/>
          <w:color w:val="000000" w:themeColor="text1"/>
        </w:rPr>
        <w:t xml:space="preserve">         </w:t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</w:r>
      <w:r w:rsidRPr="007E3286">
        <w:rPr>
          <w:rFonts w:ascii="Arial" w:hAnsi="Arial" w:cs="Arial"/>
          <w:i/>
          <w:color w:val="000000" w:themeColor="text1"/>
        </w:rPr>
        <w:tab/>
        <w:t xml:space="preserve">         </w:t>
      </w:r>
    </w:p>
    <w:p w:rsidR="007E3BA0" w:rsidRPr="004A20AB" w:rsidRDefault="007E3BA0" w:rsidP="007E3BA0">
      <w:pPr>
        <w:rPr>
          <w:rFonts w:asciiTheme="minorHAnsi" w:hAnsiTheme="minorHAnsi" w:cs="Arial"/>
          <w:i/>
          <w:color w:val="000000" w:themeColor="text1"/>
          <w:sz w:val="22"/>
          <w:szCs w:val="22"/>
          <w:rtl/>
        </w:rPr>
      </w:pPr>
    </w:p>
    <w:p w:rsidR="007E3BA0" w:rsidRPr="006A530F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Okrem dlhodobého majetku eviduje Trnavská univerzita v podsúvahovej evidencii aj drobný majetok s dobou životnosti nad 1 rok v celkovej hodnote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3 966 935 </w:t>
      </w:r>
      <w:r w:rsidRPr="00401A14">
        <w:rPr>
          <w:rFonts w:asciiTheme="minorHAnsi" w:hAnsiTheme="minorHAnsi" w:cs="Arial"/>
          <w:color w:val="000000" w:themeColor="text1"/>
          <w:sz w:val="22"/>
          <w:szCs w:val="22"/>
        </w:rPr>
        <w:t xml:space="preserve">Eur. Súčasťou obstarávacej ceny drobného majetku je aj majetok vo výpožičke v celkovej hodnote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201 222</w:t>
      </w:r>
      <w:r w:rsidRPr="00401A14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</w:p>
    <w:p w:rsidR="007E3BA0" w:rsidRPr="006A530F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Drobný majetok evidovaný v podsúvahovej evidencii podlieha inventarizácii majetku univerzity. </w:t>
      </w:r>
    </w:p>
    <w:p w:rsidR="007E3BA0" w:rsidRPr="006A530F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bol zaradený do užívania a zaevidovaný dlhodobý majetok v celkovej hodnote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20091B">
        <w:rPr>
          <w:rFonts w:asciiTheme="minorHAnsi" w:hAnsiTheme="minorHAnsi" w:cs="Arial"/>
          <w:sz w:val="22"/>
          <w:szCs w:val="22"/>
        </w:rPr>
        <w:t>358 757 Eur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>. Tento prírastok tvoril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nákup mikroskopu, výpočtovej techniky, </w:t>
      </w:r>
      <w:proofErr w:type="spellStart"/>
      <w:r>
        <w:rPr>
          <w:rFonts w:asciiTheme="minorHAnsi" w:hAnsiTheme="minorHAnsi" w:cs="Arial"/>
          <w:color w:val="000000" w:themeColor="text1"/>
          <w:sz w:val="22"/>
          <w:szCs w:val="22"/>
        </w:rPr>
        <w:t>schodolezy</w:t>
      </w:r>
      <w:proofErr w:type="spellEnd"/>
      <w:r>
        <w:rPr>
          <w:rFonts w:asciiTheme="minorHAnsi" w:hAnsiTheme="minorHAnsi" w:cs="Arial"/>
          <w:color w:val="000000" w:themeColor="text1"/>
          <w:sz w:val="22"/>
          <w:szCs w:val="22"/>
        </w:rPr>
        <w:t>, rekonštrukcia WC, externé hliníkové dvere, tiež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 informačné technológie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Trnavská univerzita realizovala nákup majetku prevažne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z vlastných zdrojov</w:t>
      </w:r>
      <w:r w:rsidRPr="006A530F">
        <w:rPr>
          <w:rFonts w:asciiTheme="minorHAnsi" w:hAnsiTheme="minorHAnsi" w:cs="Arial"/>
          <w:color w:val="000000" w:themeColor="text1"/>
          <w:sz w:val="22"/>
          <w:szCs w:val="22"/>
        </w:rPr>
        <w:t xml:space="preserve">.  </w:t>
      </w:r>
    </w:p>
    <w:p w:rsidR="007E3BA0" w:rsidRPr="008B0237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Z evidencie bol vyradený majetok v celkovej </w:t>
      </w:r>
      <w:r w:rsidRPr="00F74954">
        <w:rPr>
          <w:rFonts w:asciiTheme="minorHAnsi" w:hAnsiTheme="minorHAnsi" w:cs="Arial"/>
          <w:color w:val="000000" w:themeColor="text1"/>
          <w:sz w:val="22"/>
          <w:szCs w:val="22"/>
        </w:rPr>
        <w:t xml:space="preserve">hodnote </w:t>
      </w:r>
      <w:r w:rsidRPr="00E36F78">
        <w:rPr>
          <w:rFonts w:asciiTheme="minorHAnsi" w:hAnsiTheme="minorHAnsi" w:cs="Arial"/>
          <w:sz w:val="22"/>
          <w:szCs w:val="22"/>
        </w:rPr>
        <w:t>103 316 Eur</w:t>
      </w:r>
      <w:r w:rsidRPr="008B0237">
        <w:rPr>
          <w:rFonts w:asciiTheme="minorHAnsi" w:hAnsiTheme="minorHAnsi" w:cs="Arial"/>
          <w:color w:val="000000" w:themeColor="text1"/>
          <w:sz w:val="22"/>
          <w:szCs w:val="22"/>
        </w:rPr>
        <w:t xml:space="preserve">. Z evidencie majetku bola vyradená prevažne zastaraná výpočtová technika a softvér. </w:t>
      </w:r>
    </w:p>
    <w:p w:rsidR="007E3BA0" w:rsidRPr="007C6E03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K 31.12.201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vykonaná inventarizácia majetku, záväzkov a pohľadávok univerzity. Zistené drobné inventarizačné rozdiely z dokladovej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inventarizácie boli na návrh inventarizačnej komisie zúčtované do účtovného obdobia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E3BA0" w:rsidRPr="007C6E03" w:rsidRDefault="007E3BA0" w:rsidP="007E3BA0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7E3BA0" w:rsidRPr="007C6E03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Ochrana hnuteľného a nehnuteľného majetku voči škodám na majetku bola zabezpečená poistením majetku prostredníctvom zmluvy na poistenie majetku s platnosťou pre všetky budovy vo vlastníctve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 Trnave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a v zmluve špecifikovaný nehnuteľný majetok. </w:t>
      </w:r>
    </w:p>
    <w:p w:rsidR="007E3BA0" w:rsidRPr="007C6E03" w:rsidRDefault="007E3BA0" w:rsidP="007E3BA0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Dopravné prostriedky boli chránené proti škodám flotilovým povinným zmluvným poistením a flotilovým havarijným poistením na všetky motorové vozidlá univerzity. </w:t>
      </w:r>
      <w:r w:rsidRPr="00AB1984">
        <w:rPr>
          <w:rFonts w:asciiTheme="minorHAnsi" w:hAnsiTheme="minorHAnsi" w:cs="Arial"/>
          <w:sz w:val="22"/>
          <w:szCs w:val="22"/>
        </w:rPr>
        <w:t xml:space="preserve">Univerzita riešila v priebehu </w:t>
      </w:r>
      <w:r w:rsidRPr="00F857BA">
        <w:rPr>
          <w:rFonts w:asciiTheme="minorHAnsi" w:hAnsiTheme="minorHAnsi" w:cs="Arial"/>
          <w:sz w:val="22"/>
          <w:szCs w:val="22"/>
        </w:rPr>
        <w:t>roka 3 poistné</w:t>
      </w:r>
      <w:r w:rsidRPr="00AB1984">
        <w:rPr>
          <w:rFonts w:asciiTheme="minorHAnsi" w:hAnsiTheme="minorHAnsi" w:cs="Arial"/>
          <w:sz w:val="22"/>
          <w:szCs w:val="22"/>
        </w:rPr>
        <w:t xml:space="preserve"> udalosti spojené so škodou na dopravných prostriedkoch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 xml:space="preserve">Prepravované osoby boli poistené rámcovou zmluvou o miliónovom poistení osôb prepravovaných motorovým vozidlom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7C6E03">
        <w:rPr>
          <w:rFonts w:asciiTheme="minorHAnsi" w:hAnsiTheme="minorHAnsi" w:cs="Arial"/>
          <w:color w:val="000000" w:themeColor="text1"/>
          <w:sz w:val="22"/>
          <w:szCs w:val="22"/>
        </w:rPr>
        <w:t>univerzity.</w:t>
      </w:r>
    </w:p>
    <w:p w:rsidR="007E3BA0" w:rsidRDefault="007E3BA0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4A0E" w:rsidRPr="004A20AB" w:rsidRDefault="005C4A0E" w:rsidP="005C4A0E">
      <w:pPr>
        <w:tabs>
          <w:tab w:val="left" w:pos="1884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:rsidR="004B336E" w:rsidRPr="004902DC" w:rsidRDefault="00800C37" w:rsidP="007C6E03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>2.7</w:t>
      </w:r>
      <w:r w:rsidR="00075D17"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Investičné zámery</w:t>
      </w:r>
      <w:r w:rsidR="003638F9" w:rsidRPr="004902D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univerzity</w:t>
      </w:r>
    </w:p>
    <w:p w:rsidR="00E82B8E" w:rsidRPr="00E73E79" w:rsidRDefault="00E82B8E" w:rsidP="004A20AB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27BBA" w:rsidRPr="00627BBA" w:rsidRDefault="00627BBA" w:rsidP="00627BB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tab/>
      </w:r>
      <w:r w:rsidRPr="00627BBA">
        <w:rPr>
          <w:rFonts w:ascii="Calibri" w:hAnsi="Calibri" w:cs="Calibri"/>
          <w:sz w:val="22"/>
          <w:szCs w:val="22"/>
        </w:rPr>
        <w:t xml:space="preserve">V rámci investičných aktivít univerzity v roku 2018 bola hlavnou investičnou akciou stavba „Riešenie havarijného stavu a rekonštrukcia budovy </w:t>
      </w:r>
      <w:proofErr w:type="spellStart"/>
      <w:r w:rsidRPr="00627BBA">
        <w:rPr>
          <w:rFonts w:ascii="Calibri" w:hAnsi="Calibri" w:cs="Calibri"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(1. etapa) - strecha“ a stavba „Rekonštrukcia objektu TVU, Kollárova ul., Trnava“ (budova bývalého Kina Sloboda), ktoré boli financované v rámci zmluvy o poskytnutí dotácie zo štátneho rozpočtu pridelen</w:t>
      </w:r>
      <w:r w:rsidR="00A36AC8">
        <w:rPr>
          <w:rFonts w:ascii="Calibri" w:hAnsi="Calibri" w:cs="Calibri"/>
          <w:sz w:val="22"/>
          <w:szCs w:val="22"/>
        </w:rPr>
        <w:t>ej</w:t>
      </w:r>
      <w:r w:rsidRPr="00627BBA">
        <w:rPr>
          <w:rFonts w:ascii="Calibri" w:hAnsi="Calibri" w:cs="Calibri"/>
          <w:sz w:val="22"/>
          <w:szCs w:val="22"/>
        </w:rPr>
        <w:t xml:space="preserve"> Ministerstvom školstva, vedy, výskumu a športu SR.</w:t>
      </w:r>
    </w:p>
    <w:p w:rsidR="00627BBA" w:rsidRPr="00627BBA" w:rsidRDefault="00627BBA" w:rsidP="00627BB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tabs>
          <w:tab w:val="left" w:pos="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i/>
          <w:sz w:val="22"/>
          <w:szCs w:val="22"/>
          <w:u w:val="single"/>
        </w:rPr>
        <w:t>Investičná akcia evidovaná v registri investícií MŠ</w:t>
      </w:r>
      <w:r w:rsidR="00A36AC8">
        <w:rPr>
          <w:rFonts w:ascii="Calibri" w:hAnsi="Calibri" w:cs="Calibri"/>
          <w:i/>
          <w:sz w:val="22"/>
          <w:szCs w:val="22"/>
          <w:u w:val="single"/>
        </w:rPr>
        <w:t xml:space="preserve">VVaŠ </w:t>
      </w:r>
      <w:r w:rsidRPr="00627BBA">
        <w:rPr>
          <w:rFonts w:ascii="Calibri" w:hAnsi="Calibri" w:cs="Calibri"/>
          <w:i/>
          <w:sz w:val="22"/>
          <w:szCs w:val="22"/>
          <w:u w:val="single"/>
        </w:rPr>
        <w:t xml:space="preserve"> SR </w:t>
      </w:r>
      <w:r w:rsidRPr="00627BBA">
        <w:rPr>
          <w:rFonts w:ascii="Calibri" w:hAnsi="Calibri" w:cs="Calibri"/>
          <w:sz w:val="22"/>
          <w:szCs w:val="22"/>
        </w:rPr>
        <w:t xml:space="preserve"> 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27BBA">
        <w:rPr>
          <w:rFonts w:ascii="Calibri" w:hAnsi="Calibri" w:cs="Calibri"/>
          <w:b/>
          <w:sz w:val="22"/>
          <w:szCs w:val="22"/>
        </w:rPr>
        <w:t xml:space="preserve">Riešenie havarijného stavu a rekonštrukcia budovy </w:t>
      </w:r>
      <w:proofErr w:type="spellStart"/>
      <w:r w:rsidRPr="00627BBA">
        <w:rPr>
          <w:rFonts w:ascii="Calibri" w:hAnsi="Calibri" w:cs="Calibri"/>
          <w:b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b/>
          <w:sz w:val="22"/>
          <w:szCs w:val="22"/>
        </w:rPr>
        <w:t xml:space="preserve"> (1. etapa) - strecha: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Hlavnou investičnou akciou univerzity v roku 2018 bola rekonštrukcia budovy </w:t>
      </w:r>
      <w:proofErr w:type="spellStart"/>
      <w:r w:rsidRPr="00627BBA">
        <w:rPr>
          <w:rFonts w:ascii="Calibri" w:hAnsi="Calibri" w:cs="Calibri"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sz w:val="22"/>
          <w:szCs w:val="22"/>
        </w:rPr>
        <w:t>, nachádzajúc</w:t>
      </w:r>
      <w:r w:rsidR="005D3BE5">
        <w:rPr>
          <w:rFonts w:ascii="Calibri" w:hAnsi="Calibri" w:cs="Calibri"/>
          <w:sz w:val="22"/>
          <w:szCs w:val="22"/>
        </w:rPr>
        <w:t>a</w:t>
      </w:r>
      <w:r w:rsidRPr="00627BBA">
        <w:rPr>
          <w:rFonts w:ascii="Calibri" w:hAnsi="Calibri" w:cs="Calibri"/>
          <w:sz w:val="22"/>
          <w:szCs w:val="22"/>
        </w:rPr>
        <w:t xml:space="preserve"> sa na Hollého ul. č. 8, Trnava. Univerzita sa stala vlastníkom budovy v mesiaci marec 2017 a ukončením Zmluvy o nájme nebytových priestorov ku dňu 30. júna 2018 aj jediným užívateľom celej budovy. Predmetnú budovu univerzita plánuje postup</w:t>
      </w:r>
      <w:r w:rsidR="005D3BE5">
        <w:rPr>
          <w:rFonts w:ascii="Calibri" w:hAnsi="Calibri" w:cs="Calibri"/>
          <w:sz w:val="22"/>
          <w:szCs w:val="22"/>
        </w:rPr>
        <w:t>n</w:t>
      </w:r>
      <w:r w:rsidRPr="00627BBA">
        <w:rPr>
          <w:rFonts w:ascii="Calibri" w:hAnsi="Calibri" w:cs="Calibri"/>
          <w:sz w:val="22"/>
          <w:szCs w:val="22"/>
        </w:rPr>
        <w:t>e zrekonštruovať a vytvoriť tak plnohodnotné priestory pre vzdelávací proces univerzity.</w:t>
      </w: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Z vecného hľadiska a z hľadiska množstva pridelených finančných prostriedkov bola plánovaná rekonštrukcia rozdelená na dve časti:</w:t>
      </w: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1. časť: „Rekonštrukcia budovy </w:t>
      </w:r>
      <w:proofErr w:type="spellStart"/>
      <w:r w:rsidRPr="00627BBA">
        <w:rPr>
          <w:rFonts w:ascii="Calibri" w:hAnsi="Calibri" w:cs="Calibri"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– riešenie havarijného stavu strechy</w:t>
      </w:r>
      <w:r w:rsidR="00754240">
        <w:rPr>
          <w:rFonts w:ascii="Calibri" w:hAnsi="Calibri" w:cs="Calibri"/>
          <w:sz w:val="22"/>
          <w:szCs w:val="22"/>
        </w:rPr>
        <w:t>“,</w:t>
      </w: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2. časť: „Rekonštrukcia budovy </w:t>
      </w:r>
      <w:proofErr w:type="spellStart"/>
      <w:r w:rsidRPr="00627BBA">
        <w:rPr>
          <w:rFonts w:ascii="Calibri" w:hAnsi="Calibri" w:cs="Calibri"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– ostatné stavebné objekty</w:t>
      </w:r>
      <w:r w:rsidR="00754240">
        <w:rPr>
          <w:rFonts w:ascii="Calibri" w:hAnsi="Calibri" w:cs="Calibri"/>
          <w:sz w:val="22"/>
          <w:szCs w:val="22"/>
        </w:rPr>
        <w:t>“.</w:t>
      </w:r>
    </w:p>
    <w:p w:rsidR="00627BBA" w:rsidRPr="00627BBA" w:rsidRDefault="00627BBA" w:rsidP="00E25313">
      <w:pPr>
        <w:pStyle w:val="PredformtovanHTML"/>
        <w:spacing w:after="4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V rámci prvej časti bude realizovaná rekonštrukcia strechy, nakoľko je v havarijnom stave. Koncom mesiaca august 2018 bola uzatvorená Zmluva o dielo č. 04-DV/2018 so spoločnosťou Ateliér DV, s. r. o., Trnava</w:t>
      </w:r>
      <w:r w:rsidR="00754240">
        <w:rPr>
          <w:rFonts w:ascii="Calibri" w:hAnsi="Calibri" w:cs="Calibri"/>
          <w:sz w:val="22"/>
          <w:szCs w:val="22"/>
        </w:rPr>
        <w:t>,</w:t>
      </w:r>
      <w:r w:rsidRPr="00627BBA">
        <w:rPr>
          <w:rFonts w:ascii="Calibri" w:hAnsi="Calibri" w:cs="Calibri"/>
          <w:sz w:val="22"/>
          <w:szCs w:val="22"/>
        </w:rPr>
        <w:t xml:space="preserve"> na zhotovenie a dodanie projektovej dokumentácie pre stavebné povolenie a výkon autorského dohľadu. Pre vypracovanie projektovej dokumentácie univerzita zabezpečila nevyhnutné posudky ako:</w:t>
      </w:r>
    </w:p>
    <w:p w:rsidR="00627BBA" w:rsidRPr="00627BBA" w:rsidRDefault="00627BBA" w:rsidP="00DD2456">
      <w:pPr>
        <w:pStyle w:val="PredformtovanHTML"/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- </w:t>
      </w:r>
      <w:r w:rsidR="00DD2456">
        <w:rPr>
          <w:rFonts w:ascii="Calibri" w:hAnsi="Calibri" w:cs="Calibri"/>
          <w:sz w:val="22"/>
          <w:szCs w:val="22"/>
        </w:rPr>
        <w:t xml:space="preserve">     </w:t>
      </w:r>
      <w:r w:rsidRPr="00627BBA">
        <w:rPr>
          <w:rFonts w:ascii="Calibri" w:hAnsi="Calibri" w:cs="Calibri"/>
          <w:sz w:val="22"/>
          <w:szCs w:val="22"/>
        </w:rPr>
        <w:t>dendrologický posudok dreveného krovu,</w:t>
      </w:r>
    </w:p>
    <w:p w:rsidR="00627BBA" w:rsidRPr="00627BBA" w:rsidRDefault="00627BBA" w:rsidP="00DD2456">
      <w:pPr>
        <w:pStyle w:val="PredformtovanHTML"/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lastRenderedPageBreak/>
        <w:t xml:space="preserve">- </w:t>
      </w:r>
      <w:r w:rsidR="00DD2456">
        <w:rPr>
          <w:rFonts w:ascii="Calibri" w:hAnsi="Calibri" w:cs="Calibri"/>
          <w:sz w:val="22"/>
          <w:szCs w:val="22"/>
        </w:rPr>
        <w:t xml:space="preserve">      </w:t>
      </w:r>
      <w:proofErr w:type="spellStart"/>
      <w:r w:rsidRPr="00627BBA">
        <w:rPr>
          <w:rFonts w:ascii="Calibri" w:hAnsi="Calibri" w:cs="Calibri"/>
          <w:sz w:val="22"/>
          <w:szCs w:val="22"/>
        </w:rPr>
        <w:t>dendrochronologické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datovanie drevených prvkov krovu,</w:t>
      </w:r>
    </w:p>
    <w:p w:rsidR="00627BBA" w:rsidRPr="00627BBA" w:rsidRDefault="00627BBA" w:rsidP="00DD2456">
      <w:pPr>
        <w:pStyle w:val="PredformtovanHTML"/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- </w:t>
      </w:r>
      <w:r w:rsidR="00DD2456">
        <w:rPr>
          <w:rFonts w:ascii="Calibri" w:hAnsi="Calibri" w:cs="Calibri"/>
          <w:sz w:val="22"/>
          <w:szCs w:val="22"/>
        </w:rPr>
        <w:t xml:space="preserve">      </w:t>
      </w:r>
      <w:r w:rsidRPr="00627BBA">
        <w:rPr>
          <w:rFonts w:ascii="Calibri" w:hAnsi="Calibri" w:cs="Calibri"/>
          <w:sz w:val="22"/>
          <w:szCs w:val="22"/>
        </w:rPr>
        <w:t xml:space="preserve">rozhodnutia dotknutých orgánov (rozhodnutie Krajského pamiatkového úradu v Trnave (ďalej len „KPÚ) k zámeru obnovy národnej kultúrnej pamiatky č. 1043/5; záväzné stanovisko KPÚ k projektovej dokumentácii obnovy objektu; vyjadrenie Okresného riaditeľstva Hasičského a záchranného zboru k projektovej dokumentácii – časť Požiarna ochrana; vyjadrenia Okresného úradu, odbor starostlivosti o životné prostredie a pod.), </w:t>
      </w:r>
    </w:p>
    <w:p w:rsidR="00627BBA" w:rsidRPr="00627BBA" w:rsidRDefault="00627BBA" w:rsidP="00DD2456">
      <w:pPr>
        <w:pStyle w:val="PredformtovanHTML"/>
        <w:spacing w:after="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- </w:t>
      </w:r>
      <w:r w:rsidR="00DD2456">
        <w:rPr>
          <w:rFonts w:ascii="Calibri" w:hAnsi="Calibri" w:cs="Calibri"/>
          <w:sz w:val="22"/>
          <w:szCs w:val="22"/>
        </w:rPr>
        <w:t xml:space="preserve">      </w:t>
      </w:r>
      <w:r w:rsidRPr="00627BBA">
        <w:rPr>
          <w:rFonts w:ascii="Calibri" w:hAnsi="Calibri" w:cs="Calibri"/>
          <w:sz w:val="22"/>
          <w:szCs w:val="22"/>
        </w:rPr>
        <w:t>diagnostika železobetónového stropu a výstuže objektu nad 3. nadzemným podlažím,</w:t>
      </w:r>
    </w:p>
    <w:p w:rsidR="00627BBA" w:rsidRPr="00627BBA" w:rsidRDefault="00627BBA" w:rsidP="00DD2456">
      <w:pPr>
        <w:pStyle w:val="PredformtovanHTML"/>
        <w:spacing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- </w:t>
      </w:r>
      <w:r w:rsidR="00DD2456">
        <w:rPr>
          <w:rFonts w:ascii="Calibri" w:hAnsi="Calibri" w:cs="Calibri"/>
          <w:sz w:val="22"/>
          <w:szCs w:val="22"/>
        </w:rPr>
        <w:t xml:space="preserve">      </w:t>
      </w:r>
      <w:r w:rsidRPr="00627BBA">
        <w:rPr>
          <w:rFonts w:ascii="Calibri" w:hAnsi="Calibri" w:cs="Calibri"/>
          <w:sz w:val="22"/>
          <w:szCs w:val="22"/>
        </w:rPr>
        <w:t>reštaurátorský výskum podkrovia (komíny a ostatné murivá).</w:t>
      </w: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Všetky dokumenty potrebné k vydaniu stavebného povolenia boli predložené na stavebný úrad v rámci žiadosti o vydanie stavebného povolenia v mesiaci november 2018. Následne po vydaní právoplatného stavebného povolenia univerzita v roku 2019 zabezpečí výber zhotoviteľa stavebných prác podľa zákona o verejnom obstarávaní, ako aj samotnú realizáciu rekonštrukcie strechy.</w:t>
      </w: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V rámci realizácie rekonštrukcie strechy bude realizovaný bleskozvod. Nakoľko na Hollého ulici prebiehali rozsiahle rekonštrukčné práce, univerzita zabezpečila prípravu uzemnenia pre predmetnú budovu.</w:t>
      </w: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Z finančných prostriedkov pridelených Ministerstvom školstva, vedy, výskumu a športu SR formou kapitálovej dotácie boli hradné náklady v objeme 16 440,- Eur a univerzita z vlastných zdrojov uhradila náklady v objeme 5 200,88 Eur.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b/>
          <w:sz w:val="22"/>
          <w:szCs w:val="22"/>
        </w:rPr>
        <w:t xml:space="preserve">Rekonštrukcia objektu TVU, Kollárova ul., Trnava </w:t>
      </w:r>
      <w:r w:rsidRPr="00627BBA">
        <w:rPr>
          <w:rFonts w:ascii="Calibri" w:hAnsi="Calibri" w:cs="Calibri"/>
          <w:sz w:val="22"/>
          <w:szCs w:val="22"/>
        </w:rPr>
        <w:t>(budova bývalého Kina Sloboda)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E25313">
      <w:pPr>
        <w:pStyle w:val="PredformtovanHTML"/>
        <w:spacing w:after="120"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Budova bývalého kina Sloboda je na základe Kúpnej zmluvy s predkupným právom vo vlastníctve univerzity od roku 2001. Od začiatku vlastníctva je táto budova spojená s problémami rôzneho druhu (nedostatok finančných prostriedkov ešte pri realizácii rekonštrukcie budovy bývalej Polikliniky, problémy so získaním časti pozemku od Slovenskej technickej univerzity v Bratislave, udržiavacie práce, výkony Štátneho stavebného dohľadu, zmena postoja Mesta Trnava a KPÚ k predmetnej budove a pod.)</w:t>
      </w:r>
      <w:r w:rsidR="00171043">
        <w:rPr>
          <w:rFonts w:ascii="Calibri" w:hAnsi="Calibri" w:cs="Calibri"/>
          <w:sz w:val="22"/>
          <w:szCs w:val="22"/>
        </w:rPr>
        <w:t>.</w:t>
      </w:r>
    </w:p>
    <w:p w:rsidR="00627BBA" w:rsidRPr="00627BBA" w:rsidRDefault="00627BBA" w:rsidP="00E25313">
      <w:pPr>
        <w:pStyle w:val="PredformtovanHTML"/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Na základe vyššie uvedeného univerzita v mesiaci november 2018 dala vypracovať štúdiu uskutočniteľnosti s využitím predmetnej budovy, na základe ktorej sa rozhodne o ďalšom spôsobe jej využitia. 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i/>
          <w:sz w:val="22"/>
          <w:szCs w:val="22"/>
          <w:u w:val="single"/>
        </w:rPr>
        <w:t>Aktivity schválené univerzitou v rámci Fondu rozvoja</w:t>
      </w: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627BBA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b/>
          <w:sz w:val="22"/>
          <w:szCs w:val="22"/>
        </w:rPr>
        <w:t>Rekonštrukcia priestorov UPC – vybavenie literárnej kaviarne</w:t>
      </w:r>
    </w:p>
    <w:p w:rsidR="003D4B00" w:rsidRDefault="003D4B00" w:rsidP="00E25313">
      <w:pPr>
        <w:pStyle w:val="PredformtovanHTML"/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E25313">
      <w:pPr>
        <w:pStyle w:val="PredformtovanHTML"/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Na základe rozhodnutia vedenia univerzity bola v súvislosti s využitím priestorov bývalého Univerzitného pastoračného centra vypracovaná štúdia uskutočniteľnosti a následne projektová dokumentácia pre ohlásenie stavebných úprav pre vybudovanie literárnej kaviarne univerzity. Univerzita na predmetnú aktivitu vynaložila finančné prostriedky v objeme 3 300,- Eur.</w:t>
      </w:r>
    </w:p>
    <w:p w:rsidR="00627BBA" w:rsidRDefault="00627BBA" w:rsidP="00E25313">
      <w:pPr>
        <w:pStyle w:val="PredformtovanHTML"/>
        <w:spacing w:line="276" w:lineRule="auto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627BBA">
        <w:rPr>
          <w:rFonts w:ascii="Calibri" w:hAnsi="Calibri" w:cs="Calibri"/>
          <w:i/>
          <w:sz w:val="22"/>
          <w:szCs w:val="22"/>
          <w:u w:val="single"/>
        </w:rPr>
        <w:lastRenderedPageBreak/>
        <w:t>Aktivity realizované v rámci rozpočtu, časť Tovary a služby:</w:t>
      </w:r>
    </w:p>
    <w:p w:rsidR="003D4B00" w:rsidRPr="00627BBA" w:rsidRDefault="003D4B00" w:rsidP="00E25313">
      <w:pPr>
        <w:pStyle w:val="PredformtovanHTML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27BBA" w:rsidRPr="00627BBA" w:rsidRDefault="00627BBA" w:rsidP="00E25313">
      <w:pPr>
        <w:pStyle w:val="PredformtovanHTML"/>
        <w:numPr>
          <w:ilvl w:val="0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dodávka a montáž ochrany proti holubom, t. j. aplikácia sietí CMG PE 50S na východnú časť fasády výškovej budovy univerzity na </w:t>
      </w:r>
      <w:proofErr w:type="spellStart"/>
      <w:r w:rsidRPr="00627BBA">
        <w:rPr>
          <w:rFonts w:ascii="Calibri" w:hAnsi="Calibri" w:cs="Calibri"/>
          <w:sz w:val="22"/>
          <w:szCs w:val="22"/>
        </w:rPr>
        <w:t>Hornopotočnej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ul. 23, Trnava (suma 10 556,40 Eur),</w:t>
      </w:r>
    </w:p>
    <w:p w:rsidR="00627BBA" w:rsidRPr="00627BBA" w:rsidRDefault="00627BBA" w:rsidP="00E25313">
      <w:pPr>
        <w:pStyle w:val="PredformtovanHTML"/>
        <w:numPr>
          <w:ilvl w:val="0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dodávka a montáž exteriérových hliníkových lamelových dvier na prízemí únikového požiarneho schodiska budovy univerzity, </w:t>
      </w:r>
      <w:proofErr w:type="spellStart"/>
      <w:r w:rsidRPr="00627BBA">
        <w:rPr>
          <w:rFonts w:ascii="Calibri" w:hAnsi="Calibri" w:cs="Calibri"/>
          <w:sz w:val="22"/>
          <w:szCs w:val="22"/>
        </w:rPr>
        <w:t>Hornopotočná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ul. 23, Trnava (suma 4 143,44 Eur),</w:t>
      </w:r>
    </w:p>
    <w:p w:rsidR="00627BBA" w:rsidRPr="00627BBA" w:rsidRDefault="00627BBA" w:rsidP="00E25313">
      <w:pPr>
        <w:pStyle w:val="PredformtovanHTML"/>
        <w:numPr>
          <w:ilvl w:val="0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pre sfunkčnenie m. č. 302 (tzv. „holubník“) v budove </w:t>
      </w:r>
      <w:proofErr w:type="spellStart"/>
      <w:r w:rsidRPr="00627BBA">
        <w:rPr>
          <w:rFonts w:ascii="Calibri" w:hAnsi="Calibri" w:cs="Calibri"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sz w:val="22"/>
          <w:szCs w:val="22"/>
        </w:rPr>
        <w:t>, Hollého ul. 8, Trnava boli zrealizované stavebné úpravy (odstránenie uvoľneného stropu, nový sadrokartónový podhľad s osadením svietidiel a maliarske práce) s vynaložením finančných prostriedkov v objeme 2 889,- Eur,</w:t>
      </w:r>
    </w:p>
    <w:p w:rsidR="00627BBA" w:rsidRPr="00627BBA" w:rsidRDefault="00627BBA" w:rsidP="00E25313">
      <w:pPr>
        <w:pStyle w:val="PredformtovanHTML"/>
        <w:numPr>
          <w:ilvl w:val="0"/>
          <w:numId w:val="40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demontáž a spätná montáž ochranného prístrešku pozdĺž budovy </w:t>
      </w:r>
      <w:proofErr w:type="spellStart"/>
      <w:r w:rsidRPr="00627BBA">
        <w:rPr>
          <w:rFonts w:ascii="Calibri" w:hAnsi="Calibri" w:cs="Calibri"/>
          <w:sz w:val="22"/>
          <w:szCs w:val="22"/>
        </w:rPr>
        <w:t>Adalbertínum</w:t>
      </w:r>
      <w:proofErr w:type="spellEnd"/>
      <w:r w:rsidRPr="00627BBA">
        <w:rPr>
          <w:rFonts w:ascii="Calibri" w:hAnsi="Calibri" w:cs="Calibri"/>
          <w:sz w:val="22"/>
          <w:szCs w:val="22"/>
        </w:rPr>
        <w:t>, Hollého ul. 8, Trn</w:t>
      </w:r>
      <w:r w:rsidR="00E25313">
        <w:rPr>
          <w:rFonts w:ascii="Calibri" w:hAnsi="Calibri" w:cs="Calibri"/>
          <w:sz w:val="22"/>
          <w:szCs w:val="22"/>
        </w:rPr>
        <w:t>a</w:t>
      </w:r>
      <w:r w:rsidRPr="00627BBA">
        <w:rPr>
          <w:rFonts w:ascii="Calibri" w:hAnsi="Calibri" w:cs="Calibri"/>
          <w:sz w:val="22"/>
          <w:szCs w:val="22"/>
        </w:rPr>
        <w:t>va, v spolupráci s Mestom Trnava (7 080,- Eur)</w:t>
      </w:r>
      <w:r w:rsidR="00E25313">
        <w:rPr>
          <w:rFonts w:ascii="Calibri" w:hAnsi="Calibri" w:cs="Calibri"/>
          <w:sz w:val="22"/>
          <w:szCs w:val="22"/>
        </w:rPr>
        <w:t>.</w:t>
      </w:r>
    </w:p>
    <w:p w:rsidR="00627BBA" w:rsidRDefault="00627BBA" w:rsidP="00E25313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627BBA" w:rsidRDefault="00627BBA" w:rsidP="007E3286">
      <w:pPr>
        <w:ind w:left="567" w:hanging="567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</w:p>
    <w:p w:rsidR="00E82B8E" w:rsidRPr="00683DB7" w:rsidRDefault="003D3908" w:rsidP="007E3286">
      <w:pPr>
        <w:ind w:left="567" w:hanging="567"/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2.</w:t>
      </w:r>
      <w:r w:rsidR="002E4743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8</w:t>
      </w:r>
      <w:r w:rsidR="00805CED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A51F91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Financovanie </w:t>
      </w:r>
      <w:r w:rsidR="00805CED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>prevádzky a rozvoja informačných systémov,  informačných a komunikačných technológií</w:t>
      </w:r>
      <w:r w:rsidR="00C05F14" w:rsidRPr="00683DB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</w:p>
    <w:p w:rsidR="00714FD3" w:rsidRPr="00627BBA" w:rsidRDefault="00714FD3" w:rsidP="00627BBA">
      <w:pPr>
        <w:pStyle w:val="Zkladntext2"/>
        <w:spacing w:line="276" w:lineRule="auto"/>
        <w:ind w:firstLine="567"/>
        <w:rPr>
          <w:rFonts w:ascii="Calibri" w:hAnsi="Calibri" w:cs="Calibri"/>
          <w:color w:val="FF0000"/>
          <w:sz w:val="22"/>
          <w:szCs w:val="22"/>
        </w:rPr>
      </w:pPr>
    </w:p>
    <w:p w:rsidR="00A56261" w:rsidRDefault="00627BBA" w:rsidP="00A56261">
      <w:pPr>
        <w:pStyle w:val="Zkladntext2"/>
        <w:ind w:firstLine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V roku 2018 sa hospodárenie CIS TU uskutočňovalo v súlade so schváleným rozdelením dotácie na súčasti TU, v súlade so schváleným rozpočtom Fondu informačnej štruktúry a služieb a v súlade s Pravidlami hospodárenia na TU. </w:t>
      </w:r>
    </w:p>
    <w:p w:rsidR="00627BBA" w:rsidRPr="00627BBA" w:rsidRDefault="00627BBA" w:rsidP="00A56261">
      <w:pPr>
        <w:pStyle w:val="Zkladntext2"/>
        <w:ind w:firstLine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Na rozvoj centrálnej IKT v roku 2018 univerzita nečerpala žiadne finančné prostriedky  z európskych štrukturálnych fondov ani v rámci rozvojových projektov MŠVVaŠ SR. </w:t>
      </w:r>
    </w:p>
    <w:p w:rsidR="00627BBA" w:rsidRPr="00627BBA" w:rsidRDefault="00627BBA" w:rsidP="00A56261">
      <w:pPr>
        <w:pStyle w:val="Zkladntext2"/>
        <w:spacing w:before="120"/>
        <w:ind w:firstLine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Zo schváleného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 xml:space="preserve">rozpočtu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 xml:space="preserve">Fondu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 xml:space="preserve">informačnej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 xml:space="preserve">štruktúry a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 xml:space="preserve">služieb (Fond </w:t>
      </w:r>
      <w:r w:rsidR="00686681" w:rsidRPr="00627BBA">
        <w:rPr>
          <w:rFonts w:ascii="Calibri" w:hAnsi="Calibri" w:cs="Calibri"/>
          <w:sz w:val="22"/>
          <w:szCs w:val="22"/>
        </w:rPr>
        <w:t> </w:t>
      </w:r>
      <w:proofErr w:type="spellStart"/>
      <w:r w:rsidRPr="00627BBA">
        <w:rPr>
          <w:rFonts w:ascii="Calibri" w:hAnsi="Calibri" w:cs="Calibri"/>
          <w:sz w:val="22"/>
          <w:szCs w:val="22"/>
        </w:rPr>
        <w:t>IŠaS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)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>vo</w:t>
      </w:r>
      <w:r w:rsidR="000162C5" w:rsidRPr="00627BBA">
        <w:rPr>
          <w:rFonts w:ascii="Calibri" w:hAnsi="Calibri" w:cs="Calibri"/>
          <w:sz w:val="22"/>
          <w:szCs w:val="22"/>
        </w:rPr>
        <w:t> </w:t>
      </w:r>
      <w:r w:rsidRPr="00627BBA">
        <w:rPr>
          <w:rFonts w:ascii="Calibri" w:hAnsi="Calibri" w:cs="Calibri"/>
          <w:sz w:val="22"/>
          <w:szCs w:val="22"/>
        </w:rPr>
        <w:t xml:space="preserve"> výške </w:t>
      </w:r>
      <w:r w:rsidR="000162C5" w:rsidRPr="00627BBA">
        <w:rPr>
          <w:rFonts w:ascii="Calibri" w:hAnsi="Calibri" w:cs="Calibri"/>
          <w:sz w:val="22"/>
          <w:szCs w:val="22"/>
        </w:rPr>
        <w:t> </w:t>
      </w:r>
      <w:r w:rsidRPr="003B3F34">
        <w:rPr>
          <w:rFonts w:ascii="Calibri" w:hAnsi="Calibri" w:cs="Calibri"/>
          <w:sz w:val="22"/>
          <w:szCs w:val="22"/>
        </w:rPr>
        <w:t xml:space="preserve">233 230 € </w:t>
      </w:r>
      <w:r w:rsidR="000162C5" w:rsidRPr="003B3F34">
        <w:rPr>
          <w:rFonts w:ascii="Calibri" w:hAnsi="Calibri" w:cs="Calibri"/>
          <w:sz w:val="22"/>
          <w:szCs w:val="22"/>
        </w:rPr>
        <w:t xml:space="preserve">sa </w:t>
      </w:r>
      <w:r w:rsidRPr="003B3F34">
        <w:rPr>
          <w:rFonts w:ascii="Calibri" w:hAnsi="Calibri" w:cs="Calibri"/>
          <w:sz w:val="22"/>
          <w:szCs w:val="22"/>
        </w:rPr>
        <w:t>k 31.12.2018 vyčerpa</w:t>
      </w:r>
      <w:r w:rsidR="000162C5" w:rsidRPr="003B3F34">
        <w:rPr>
          <w:rFonts w:ascii="Calibri" w:hAnsi="Calibri" w:cs="Calibri"/>
          <w:sz w:val="22"/>
          <w:szCs w:val="22"/>
        </w:rPr>
        <w:t>lo</w:t>
      </w:r>
      <w:r w:rsidRPr="003B3F34">
        <w:rPr>
          <w:rFonts w:ascii="Calibri" w:hAnsi="Calibri" w:cs="Calibri"/>
          <w:sz w:val="22"/>
          <w:szCs w:val="22"/>
        </w:rPr>
        <w:t xml:space="preserve"> 191 001</w:t>
      </w:r>
      <w:r w:rsidRPr="00627BBA">
        <w:rPr>
          <w:rFonts w:ascii="Calibri" w:hAnsi="Calibri" w:cs="Calibri"/>
          <w:sz w:val="22"/>
          <w:szCs w:val="22"/>
        </w:rPr>
        <w:t xml:space="preserve"> €, čo predstavuje čerpanie na </w:t>
      </w:r>
      <w:r w:rsidR="000162C5" w:rsidRPr="00627BBA">
        <w:rPr>
          <w:rFonts w:ascii="Calibri" w:hAnsi="Calibri" w:cs="Calibri"/>
          <w:sz w:val="22"/>
          <w:szCs w:val="22"/>
        </w:rPr>
        <w:t> </w:t>
      </w:r>
      <w:r w:rsidRPr="00627BBA">
        <w:rPr>
          <w:rFonts w:ascii="Calibri" w:hAnsi="Calibri" w:cs="Calibri"/>
          <w:sz w:val="22"/>
          <w:szCs w:val="22"/>
        </w:rPr>
        <w:t xml:space="preserve">81,9 </w:t>
      </w:r>
      <w:r w:rsidR="000162C5" w:rsidRPr="00627BBA">
        <w:rPr>
          <w:rFonts w:ascii="Calibri" w:hAnsi="Calibri" w:cs="Calibri"/>
          <w:sz w:val="22"/>
          <w:szCs w:val="22"/>
        </w:rPr>
        <w:t xml:space="preserve">  </w:t>
      </w:r>
      <w:r w:rsidRPr="00627BBA">
        <w:rPr>
          <w:rFonts w:ascii="Calibri" w:hAnsi="Calibri" w:cs="Calibri"/>
          <w:sz w:val="22"/>
          <w:szCs w:val="22"/>
        </w:rPr>
        <w:t>%. Ušetrené prostriedky budú využité v roku 2019 na obnov</w:t>
      </w:r>
      <w:r w:rsidR="000162C5">
        <w:rPr>
          <w:rFonts w:ascii="Calibri" w:hAnsi="Calibri" w:cs="Calibri"/>
          <w:sz w:val="22"/>
          <w:szCs w:val="22"/>
        </w:rPr>
        <w:t>u</w:t>
      </w:r>
      <w:r w:rsidRPr="00627BBA">
        <w:rPr>
          <w:rFonts w:ascii="Calibri" w:hAnsi="Calibri" w:cs="Calibri"/>
          <w:sz w:val="22"/>
          <w:szCs w:val="22"/>
        </w:rPr>
        <w:t xml:space="preserve"> strategickej sieťovej infraštruktúry v súlade s plánom obnovy zariadení. Dôvodom nedočerpania Fondu </w:t>
      </w:r>
      <w:proofErr w:type="spellStart"/>
      <w:r w:rsidRPr="00627BBA">
        <w:rPr>
          <w:rFonts w:ascii="Calibri" w:hAnsi="Calibri" w:cs="Calibri"/>
          <w:sz w:val="22"/>
          <w:szCs w:val="22"/>
        </w:rPr>
        <w:t>IŠaS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boli viaceré skutočnosti:</w:t>
      </w:r>
    </w:p>
    <w:p w:rsidR="00627BBA" w:rsidRPr="00627BBA" w:rsidRDefault="00627BBA" w:rsidP="00A56261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viaceré zmluvné platby za poskytnutie služieb údržby a podpory hardvéru a softvéru v poslednom štvrťroku, resp. v decembri 2018 boli </w:t>
      </w:r>
      <w:proofErr w:type="spellStart"/>
      <w:r w:rsidRPr="00627BBA">
        <w:rPr>
          <w:rFonts w:ascii="Calibri" w:hAnsi="Calibri" w:cs="Calibri"/>
          <w:sz w:val="22"/>
          <w:szCs w:val="22"/>
        </w:rPr>
        <w:t>faktúrované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až v januári 2019;</w:t>
      </w:r>
    </w:p>
    <w:p w:rsidR="00627BBA" w:rsidRPr="00627BBA" w:rsidRDefault="00627BBA" w:rsidP="00A56261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nebola realizovaná jedna z úloh </w:t>
      </w:r>
      <w:r w:rsidR="000162C5">
        <w:rPr>
          <w:rFonts w:ascii="Calibri" w:hAnsi="Calibri" w:cs="Calibri"/>
          <w:sz w:val="22"/>
          <w:szCs w:val="22"/>
        </w:rPr>
        <w:t>Ročného plánu úloh</w:t>
      </w:r>
      <w:r w:rsidRPr="00627BBA">
        <w:rPr>
          <w:rFonts w:ascii="Calibri" w:hAnsi="Calibri" w:cs="Calibri"/>
          <w:sz w:val="22"/>
          <w:szCs w:val="22"/>
        </w:rPr>
        <w:t xml:space="preserve"> na rok 2018, ktorá súvisela s externými službami pri vytvorení integračného rozhrania medzi systémom MAIS a SAP-SOFIA pre pilotnú prevádzku modulu UNIKAN;</w:t>
      </w:r>
    </w:p>
    <w:p w:rsidR="00627BBA" w:rsidRPr="00627BBA" w:rsidRDefault="00627BBA" w:rsidP="00A56261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podarilo sa obstarať balík antivírusového softvéru pre všetky koncové zariadenia pripojené do univerzitnej siete za nižšiu cenu, ako bolo v rozpočte fondu plánované;</w:t>
      </w:r>
    </w:p>
    <w:p w:rsidR="00627BBA" w:rsidRPr="00627BBA" w:rsidRDefault="00627BBA" w:rsidP="00A56261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 xml:space="preserve">podarilo sa obstarať nové licencie </w:t>
      </w:r>
      <w:proofErr w:type="spellStart"/>
      <w:r w:rsidRPr="00627BBA">
        <w:rPr>
          <w:rFonts w:ascii="Calibri" w:hAnsi="Calibri" w:cs="Calibri"/>
          <w:sz w:val="22"/>
          <w:szCs w:val="22"/>
        </w:rPr>
        <w:t>virtualizačného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softvéru </w:t>
      </w:r>
      <w:proofErr w:type="spellStart"/>
      <w:r w:rsidRPr="00627BBA">
        <w:rPr>
          <w:rFonts w:ascii="Calibri" w:hAnsi="Calibri" w:cs="Calibri"/>
          <w:sz w:val="22"/>
          <w:szCs w:val="22"/>
        </w:rPr>
        <w:t>VMware</w:t>
      </w:r>
      <w:proofErr w:type="spellEnd"/>
      <w:r w:rsidRPr="00627BBA">
        <w:rPr>
          <w:rFonts w:ascii="Calibri" w:hAnsi="Calibri" w:cs="Calibri"/>
          <w:sz w:val="22"/>
          <w:szCs w:val="22"/>
        </w:rPr>
        <w:t xml:space="preserve"> za výhodné akademické ceny;</w:t>
      </w:r>
    </w:p>
    <w:p w:rsidR="00627BBA" w:rsidRPr="00627BBA" w:rsidRDefault="00627BBA" w:rsidP="00A56261">
      <w:pPr>
        <w:pStyle w:val="Zkladntext2"/>
        <w:numPr>
          <w:ilvl w:val="0"/>
          <w:numId w:val="38"/>
        </w:numPr>
        <w:suppressAutoHyphens/>
        <w:spacing w:before="120"/>
        <w:ind w:left="426" w:hanging="426"/>
        <w:rPr>
          <w:rFonts w:ascii="Calibri" w:hAnsi="Calibri" w:cs="Calibri"/>
          <w:sz w:val="22"/>
          <w:szCs w:val="22"/>
        </w:rPr>
      </w:pPr>
      <w:r w:rsidRPr="00627BBA">
        <w:rPr>
          <w:rFonts w:ascii="Calibri" w:hAnsi="Calibri" w:cs="Calibri"/>
          <w:sz w:val="22"/>
          <w:szCs w:val="22"/>
        </w:rPr>
        <w:t>vzhľadom na ukončené rámcové dohody s dodávateľmi výpočtovej techniky a neukončený proces nového ve</w:t>
      </w:r>
      <w:r w:rsidR="000162C5">
        <w:rPr>
          <w:rFonts w:ascii="Calibri" w:hAnsi="Calibri" w:cs="Calibri"/>
          <w:sz w:val="22"/>
          <w:szCs w:val="22"/>
        </w:rPr>
        <w:t>r</w:t>
      </w:r>
      <w:r w:rsidRPr="00627BBA">
        <w:rPr>
          <w:rFonts w:ascii="Calibri" w:hAnsi="Calibri" w:cs="Calibri"/>
          <w:sz w:val="22"/>
          <w:szCs w:val="22"/>
        </w:rPr>
        <w:t xml:space="preserve">ejného obstarávania nebolo možné realizovať plánovaný nákup viacerých sieťových zariadení. </w:t>
      </w:r>
    </w:p>
    <w:p w:rsidR="003B3F34" w:rsidRDefault="003B3F34" w:rsidP="003B3F34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3B3F34" w:rsidRPr="003B3F34" w:rsidRDefault="003B3F34" w:rsidP="003B3F34">
      <w:pPr>
        <w:pStyle w:val="Zkladntext2"/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B3F34">
        <w:rPr>
          <w:rFonts w:asciiTheme="minorHAnsi" w:hAnsiTheme="minorHAnsi" w:cs="Arial"/>
          <w:color w:val="000000" w:themeColor="text1"/>
          <w:sz w:val="22"/>
          <w:szCs w:val="22"/>
        </w:rPr>
        <w:t xml:space="preserve">Centrum informačných systémov Trnavskej univerzity spravuje fond čipových kariet ISIC/ITIC. V súlade s vyhláškou rektora TU č.3/2004 sú príjmami tohto fondu úhrady študentov a zamestnancov za zhotovenie preukazov alebo za aktualizačné známky na preukazy. Produkovaný zisk slúži v prevažnej miere na rozvoj systému automatizovanej identifikácie osôb (SAIO). Zostatok na fonde k 31.12.2018 predstavoval hodnotu </w:t>
      </w:r>
      <w:r w:rsidR="00003180">
        <w:rPr>
          <w:rFonts w:asciiTheme="minorHAnsi" w:hAnsiTheme="minorHAnsi" w:cs="Arial"/>
          <w:color w:val="000000" w:themeColor="text1"/>
          <w:sz w:val="22"/>
          <w:szCs w:val="22"/>
        </w:rPr>
        <w:t>4 182,43</w:t>
      </w:r>
      <w:r w:rsidRPr="003B3F34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</w:p>
    <w:p w:rsidR="00A04EE8" w:rsidRPr="00EA7A6B" w:rsidRDefault="002E4743" w:rsidP="007E3286">
      <w:pPr>
        <w:jc w:val="both"/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</w:pPr>
      <w:r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lastRenderedPageBreak/>
        <w:t>2.9</w:t>
      </w:r>
      <w:r w:rsidR="003D3908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  </w:t>
      </w:r>
      <w:r w:rsidR="005F6E37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Financovanie sociálnej </w:t>
      </w:r>
      <w:r w:rsidR="005A3B36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podpory </w:t>
      </w:r>
      <w:r w:rsidR="005F6E37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>študentov</w:t>
      </w:r>
      <w:r w:rsidR="005A3B36" w:rsidRPr="00EA7A6B">
        <w:rPr>
          <w:rStyle w:val="Vrazn"/>
          <w:rFonts w:asciiTheme="minorHAnsi" w:hAnsiTheme="minorHAnsi" w:cs="Arial"/>
          <w:color w:val="000000" w:themeColor="text1"/>
          <w:sz w:val="24"/>
          <w:szCs w:val="24"/>
        </w:rPr>
        <w:t xml:space="preserve"> a zamestnancov</w:t>
      </w:r>
    </w:p>
    <w:p w:rsidR="00D76E68" w:rsidRPr="00EA7A6B" w:rsidRDefault="00D76E68" w:rsidP="007E3286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171A38" w:rsidRPr="00EA7A6B" w:rsidRDefault="00171A38" w:rsidP="00171A3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A7A6B">
        <w:rPr>
          <w:rFonts w:asciiTheme="minorHAnsi" w:hAnsiTheme="minorHAnsi" w:cs="Arial"/>
          <w:color w:val="000000" w:themeColor="text1"/>
          <w:sz w:val="22"/>
          <w:szCs w:val="22"/>
        </w:rPr>
        <w:t xml:space="preserve">Starostlivosť o zamestnancov a študentov a zlepšovanie podmienok pre ich prácu tvorili jeden z nosných pilierov práce vedenia Trnavskej univerzity aj v roku 2018. </w:t>
      </w:r>
    </w:p>
    <w:p w:rsidR="00171A38" w:rsidRPr="00EA7A6B" w:rsidRDefault="00171A38" w:rsidP="00171A3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71A38" w:rsidRPr="00EA7A6B" w:rsidRDefault="00171A38" w:rsidP="00171A3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A7A6B">
        <w:rPr>
          <w:rFonts w:asciiTheme="minorHAnsi" w:hAnsiTheme="minorHAnsi" w:cs="Arial"/>
          <w:color w:val="000000" w:themeColor="text1"/>
          <w:sz w:val="22"/>
          <w:szCs w:val="22"/>
        </w:rPr>
        <w:t>Priamou formou sociálnej podpory študentom sú štipendiá. MŠVVaŠ SR v roku 2018 na tento účel poskytlo univerzite z prostriedkov štátneho rozpočtu na podprograme 077 15 celkovo 572 651 Eur. Sociálne štipendiá z týchto poskytnutých prostriedkov predstavovali sumu 329 276 Eur, základné motivačné štipendiá 173 850 Eur a motivačné štipendiá pre vybrané študijné odbory 69 525 Eur.</w:t>
      </w:r>
    </w:p>
    <w:p w:rsidR="00171A38" w:rsidRPr="00EA7A6B" w:rsidRDefault="00171A38" w:rsidP="00171A3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A7A6B">
        <w:rPr>
          <w:rFonts w:asciiTheme="minorHAnsi" w:hAnsiTheme="minorHAnsi" w:cs="Arial"/>
          <w:color w:val="000000" w:themeColor="text1"/>
          <w:sz w:val="22"/>
          <w:szCs w:val="22"/>
        </w:rPr>
        <w:t>Z hľadiska nepriamej formy sociálnej podpory Trnavská univerzita zabezpečuje predovšetkým stravovacie služby pre študentov a zamestnancov univerzity a sprostredkováva ubytovanie študentom.</w:t>
      </w:r>
    </w:p>
    <w:p w:rsidR="00171A38" w:rsidRPr="00EA7A6B" w:rsidRDefault="00171A38" w:rsidP="00171A38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A7A6B">
        <w:rPr>
          <w:rFonts w:asciiTheme="minorHAnsi" w:hAnsiTheme="minorHAnsi" w:cs="Arial"/>
          <w:color w:val="000000" w:themeColor="text1"/>
          <w:sz w:val="22"/>
          <w:szCs w:val="22"/>
        </w:rPr>
        <w:t>V roku 2018 dosiahla dotácia na podporu stravovania, ubytovania, športových a kultúrnych aktivít študentov a pastoračných centier (prvok 077 15 03) z celkovej dotácie  MŠVVaŠ SR (vrátane dodatkov) výšku 204 923 Eur. Trnavská univerzita z tejto dotácie financovala:</w:t>
      </w:r>
    </w:p>
    <w:p w:rsidR="00171A38" w:rsidRPr="00EA7A6B" w:rsidRDefault="00171A38" w:rsidP="00171A38">
      <w:pPr>
        <w:pStyle w:val="Odsekzoznamu"/>
        <w:numPr>
          <w:ilvl w:val="0"/>
          <w:numId w:val="5"/>
        </w:numPr>
        <w:ind w:left="284" w:hanging="284"/>
        <w:jc w:val="both"/>
        <w:rPr>
          <w:rFonts w:asciiTheme="minorHAnsi" w:hAnsiTheme="minorHAnsi" w:cs="Arial"/>
          <w:color w:val="000000" w:themeColor="text1"/>
        </w:rPr>
      </w:pPr>
      <w:r w:rsidRPr="00EA7A6B">
        <w:rPr>
          <w:rFonts w:asciiTheme="minorHAnsi" w:hAnsiTheme="minorHAnsi" w:cs="Arial"/>
          <w:color w:val="000000" w:themeColor="text1"/>
        </w:rPr>
        <w:t>príspevok na stravovanie študentov a prevádzku ŠJ,</w:t>
      </w:r>
    </w:p>
    <w:p w:rsidR="00171A38" w:rsidRPr="00EA7A6B" w:rsidRDefault="00171A38" w:rsidP="00171A38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EA7A6B">
        <w:rPr>
          <w:rFonts w:asciiTheme="minorHAnsi" w:hAnsiTheme="minorHAnsi" w:cs="Arial"/>
          <w:color w:val="000000" w:themeColor="text1"/>
        </w:rPr>
        <w:t>príspevok na ubytovanie študentov a prevádzku ŠD,</w:t>
      </w:r>
    </w:p>
    <w:p w:rsidR="00171A38" w:rsidRPr="00EA7A6B" w:rsidRDefault="00171A38" w:rsidP="00171A38">
      <w:pPr>
        <w:pStyle w:val="Odsekzoznamu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  <w:color w:val="000000" w:themeColor="text1"/>
        </w:rPr>
      </w:pPr>
      <w:r w:rsidRPr="00EA7A6B">
        <w:rPr>
          <w:color w:val="000000" w:themeColor="text1"/>
        </w:rPr>
        <w:t>prís</w:t>
      </w:r>
      <w:r w:rsidRPr="00EA7A6B">
        <w:rPr>
          <w:rFonts w:asciiTheme="minorHAnsi" w:hAnsiTheme="minorHAnsi" w:cs="Arial"/>
          <w:color w:val="000000" w:themeColor="text1"/>
        </w:rPr>
        <w:t>pevok na kultúrnu, umeleckú a športovú činnosť a UPC.</w:t>
      </w:r>
    </w:p>
    <w:p w:rsidR="0003276D" w:rsidRPr="00404200" w:rsidRDefault="0003276D" w:rsidP="001B5B1E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7C1C33" w:rsidRPr="001B2176" w:rsidRDefault="004F21ED" w:rsidP="007E3286">
      <w:pPr>
        <w:jc w:val="both"/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</w:pPr>
      <w:r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2.</w:t>
      </w:r>
      <w:r w:rsidR="002E4743"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>9</w:t>
      </w:r>
      <w:r w:rsidR="00286DCF"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.1 </w:t>
      </w:r>
      <w:r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Stravovanie študentov</w:t>
      </w:r>
      <w:r w:rsidR="007C1C33" w:rsidRPr="001B2176">
        <w:rPr>
          <w:rStyle w:val="Vrazn"/>
          <w:rFonts w:asciiTheme="minorHAnsi" w:hAnsiTheme="minorHAnsi" w:cs="Arial"/>
          <w:b w:val="0"/>
          <w:i/>
          <w:color w:val="000000" w:themeColor="text1"/>
          <w:sz w:val="22"/>
          <w:szCs w:val="22"/>
        </w:rPr>
        <w:t xml:space="preserve"> a zamestnancov</w:t>
      </w:r>
    </w:p>
    <w:p w:rsidR="007C1C33" w:rsidRPr="001B2176" w:rsidRDefault="007C1C33" w:rsidP="007E3286">
      <w:pPr>
        <w:ind w:firstLine="426"/>
        <w:jc w:val="both"/>
        <w:rPr>
          <w:rStyle w:val="Vrazn"/>
          <w:rFonts w:ascii="Arial" w:hAnsi="Arial" w:cs="Arial"/>
          <w:b w:val="0"/>
          <w:color w:val="000000" w:themeColor="text1"/>
        </w:rPr>
      </w:pPr>
    </w:p>
    <w:p w:rsidR="00FC58AA" w:rsidRPr="001B2176" w:rsidRDefault="00FC58AA" w:rsidP="00525344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Hlavným poslaním prevádzky Š</w:t>
      </w:r>
      <w:r w:rsidR="007413AD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J </w:t>
      </w:r>
      <w:r w:rsidR="00DA2C24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Trnavskej 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univerzity je zabezpečovať a poskytovať stravovacie služby pre študentov a zamestnancov univerzity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. V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 rámci podnikateľskej činnosti 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zabezpečuje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stravovacie služby pre zamestnancov a ďalšie osoby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podľa záujmu. </w:t>
      </w:r>
      <w:r w:rsidR="004A626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Zabezpečuje tiež služby v bufetoch.</w:t>
      </w:r>
    </w:p>
    <w:p w:rsidR="00E72057" w:rsidRPr="001B2176" w:rsidRDefault="00FC58AA" w:rsidP="00525344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 roku 201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8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boli poskytnuté stravovacie a doplnkové služby v 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dvoch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jedálňach</w:t>
      </w:r>
      <w:r w:rsidR="00DC7C0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a </w:t>
      </w:r>
      <w:r w:rsidR="00F40506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jednej výdajni</w:t>
      </w:r>
      <w:r w:rsidR="00DC7C0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. P</w:t>
      </w:r>
      <w:r w:rsidR="00C342D4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redaj služieb a tovarov bol zabezpečený v 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troch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bufetoch. </w:t>
      </w:r>
      <w:r w:rsidR="0091229F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 roku 201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8</w:t>
      </w:r>
      <w:r w:rsidR="00E7205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Š</w:t>
      </w:r>
      <w:r w:rsidR="00D505F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="00E7205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vyrobila 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57 024</w:t>
      </w:r>
      <w:r w:rsidR="00E7205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AB1A1C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kusov </w:t>
      </w:r>
      <w:r w:rsidR="00E7205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jedál. Na celkovom počte odobratých jedál sa študenti podieľali 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 </w:t>
      </w:r>
      <w:r w:rsidR="00AF758E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4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8 %.</w:t>
      </w:r>
    </w:p>
    <w:p w:rsidR="007C3869" w:rsidRPr="001B2176" w:rsidRDefault="00FC58AA" w:rsidP="007C3869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</w:pP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Produkcia 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Š</w:t>
      </w:r>
      <w:r w:rsidR="00C05DC8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J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rok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u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201</w:t>
      </w:r>
      <w:r w:rsidR="00BE4917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8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</w:t>
      </w:r>
      <w:r w:rsidR="00471E2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v porovnaní s predchádzajúcim obdobím</w:t>
      </w:r>
      <w:r w:rsidR="00CB6525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znovu klesala</w:t>
      </w:r>
      <w:r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. </w:t>
      </w:r>
      <w:r w:rsidR="007C386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Hospodárenie študentskej jedálne v roku 201</w:t>
      </w:r>
      <w:r w:rsidR="001B2176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>8</w:t>
      </w:r>
      <w:r w:rsidR="007C3869" w:rsidRPr="001B2176">
        <w:rPr>
          <w:rStyle w:val="Vrazn"/>
          <w:rFonts w:asciiTheme="minorHAnsi" w:hAnsiTheme="minorHAnsi" w:cs="Arial"/>
          <w:b w:val="0"/>
          <w:color w:val="000000" w:themeColor="text1"/>
          <w:sz w:val="22"/>
          <w:szCs w:val="22"/>
        </w:rPr>
        <w:t xml:space="preserve"> je uvedené  v tabuľke č.7.</w:t>
      </w:r>
    </w:p>
    <w:p w:rsidR="00937867" w:rsidRPr="00404200" w:rsidRDefault="00937867" w:rsidP="007E3286">
      <w:pPr>
        <w:rPr>
          <w:rFonts w:ascii="Arial" w:hAnsi="Arial" w:cs="Arial"/>
          <w:i/>
          <w:color w:val="FF0000"/>
        </w:rPr>
      </w:pPr>
    </w:p>
    <w:p w:rsidR="00937867" w:rsidRPr="00404200" w:rsidRDefault="00937867" w:rsidP="007E3286">
      <w:pPr>
        <w:rPr>
          <w:rFonts w:ascii="Arial" w:hAnsi="Arial" w:cs="Arial"/>
          <w:i/>
          <w:color w:val="FF0000"/>
        </w:rPr>
      </w:pPr>
    </w:p>
    <w:p w:rsidR="00A35E90" w:rsidRPr="0035488C" w:rsidRDefault="00471E29" w:rsidP="007E3286">
      <w:pPr>
        <w:rPr>
          <w:rFonts w:ascii="Arial" w:hAnsi="Arial" w:cs="Arial"/>
          <w:i/>
          <w:color w:val="000000" w:themeColor="text1"/>
        </w:rPr>
      </w:pPr>
      <w:r w:rsidRPr="0035488C">
        <w:rPr>
          <w:rFonts w:ascii="Arial" w:hAnsi="Arial" w:cs="Arial"/>
          <w:i/>
          <w:color w:val="000000" w:themeColor="text1"/>
        </w:rPr>
        <w:t xml:space="preserve">Tabuľka č. </w:t>
      </w:r>
      <w:r w:rsidR="00971CFE" w:rsidRPr="0035488C">
        <w:rPr>
          <w:rFonts w:ascii="Arial" w:hAnsi="Arial" w:cs="Arial"/>
          <w:i/>
          <w:color w:val="000000" w:themeColor="text1"/>
        </w:rPr>
        <w:t>7</w:t>
      </w: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182"/>
        <w:gridCol w:w="1984"/>
        <w:gridCol w:w="1985"/>
      </w:tblGrid>
      <w:tr w:rsidR="0040622C" w:rsidRPr="0035488C" w:rsidTr="00B92E7C">
        <w:trPr>
          <w:trHeight w:hRule="exact" w:val="1029"/>
        </w:trPr>
        <w:tc>
          <w:tcPr>
            <w:tcW w:w="638" w:type="dxa"/>
            <w:shd w:val="clear" w:color="auto" w:fill="92D050"/>
            <w:noWrap/>
            <w:vAlign w:val="center"/>
            <w:hideMark/>
          </w:tcPr>
          <w:p w:rsidR="00B92E7C" w:rsidRPr="0035488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P. č.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B92E7C" w:rsidRPr="0035488C" w:rsidRDefault="00B92E7C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Ukazovateľ</w:t>
            </w:r>
          </w:p>
        </w:tc>
        <w:tc>
          <w:tcPr>
            <w:tcW w:w="1984" w:type="dxa"/>
            <w:shd w:val="clear" w:color="auto" w:fill="92D050"/>
            <w:vAlign w:val="center"/>
            <w:hideMark/>
          </w:tcPr>
          <w:p w:rsidR="00B92E7C" w:rsidRPr="0035488C" w:rsidRDefault="007C3869" w:rsidP="0091229F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</w:t>
            </w:r>
            <w:r w:rsidR="001B2176" w:rsidRPr="0035488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1985" w:type="dxa"/>
            <w:shd w:val="clear" w:color="auto" w:fill="92D050"/>
            <w:vAlign w:val="center"/>
            <w:hideMark/>
          </w:tcPr>
          <w:p w:rsidR="00B92E7C" w:rsidRPr="0035488C" w:rsidRDefault="007C3869" w:rsidP="007E328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201</w:t>
            </w:r>
            <w:r w:rsidR="001B2176" w:rsidRPr="0035488C">
              <w:rPr>
                <w:rFonts w:asciiTheme="minorHAnsi" w:hAnsiTheme="minorHAnsi" w:cs="Arial"/>
                <w:b/>
                <w:bCs/>
                <w:color w:val="000000" w:themeColor="text1"/>
                <w:sz w:val="22"/>
                <w:szCs w:val="22"/>
                <w:lang w:eastAsia="sk-SK"/>
              </w:rPr>
              <w:t>8</w:t>
            </w:r>
          </w:p>
        </w:tc>
      </w:tr>
      <w:tr w:rsidR="001B2176" w:rsidRPr="0035488C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študentom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28 952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27 474</w:t>
            </w:r>
          </w:p>
        </w:tc>
      </w:tr>
      <w:tr w:rsidR="001B2176" w:rsidRPr="0035488C" w:rsidTr="00B92E7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počet vydaných jedál zamestnancom (v kusoch)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32 522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29 550</w:t>
            </w:r>
          </w:p>
        </w:tc>
      </w:tr>
      <w:tr w:rsidR="001B2176" w:rsidRPr="0035488C" w:rsidTr="00B92E7C">
        <w:trPr>
          <w:trHeight w:hRule="exact" w:val="284"/>
        </w:trPr>
        <w:tc>
          <w:tcPr>
            <w:tcW w:w="638" w:type="dxa"/>
            <w:shd w:val="clear" w:color="auto" w:fill="92D050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4182" w:type="dxa"/>
            <w:shd w:val="clear" w:color="auto" w:fill="92D050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Počet vydaných jedál spolu</w:t>
            </w:r>
          </w:p>
        </w:tc>
        <w:tc>
          <w:tcPr>
            <w:tcW w:w="1984" w:type="dxa"/>
            <w:shd w:val="clear" w:color="auto" w:fill="92D050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61 474</w:t>
            </w:r>
          </w:p>
        </w:tc>
        <w:tc>
          <w:tcPr>
            <w:tcW w:w="1985" w:type="dxa"/>
            <w:shd w:val="clear" w:color="auto" w:fill="92D050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57 024</w:t>
            </w:r>
          </w:p>
        </w:tc>
      </w:tr>
      <w:tr w:rsidR="001B2176" w:rsidRPr="0035488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náklady HČ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201 946,21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B2176" w:rsidRPr="0035488C" w:rsidRDefault="00D703FF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211 600,97</w:t>
            </w:r>
          </w:p>
        </w:tc>
      </w:tr>
      <w:tr w:rsidR="001B2176" w:rsidRPr="0035488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 xml:space="preserve">náklady PČ (v Eur) 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47 341,32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B2176" w:rsidRPr="0035488C" w:rsidRDefault="00D703FF" w:rsidP="001B2176">
            <w:pPr>
              <w:jc w:val="right"/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eastAsia="sk-SK"/>
              </w:rPr>
              <w:t>37 082,23</w:t>
            </w:r>
          </w:p>
        </w:tc>
      </w:tr>
      <w:tr w:rsidR="001B2176" w:rsidRPr="0035488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5.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výnosy  HČ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178 613,68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B2176" w:rsidRPr="0035488C" w:rsidRDefault="00DA5538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188 141,99</w:t>
            </w:r>
          </w:p>
        </w:tc>
      </w:tr>
      <w:tr w:rsidR="001B2176" w:rsidRPr="0035488C" w:rsidTr="00EE536C">
        <w:trPr>
          <w:trHeight w:hRule="exact" w:val="284"/>
        </w:trPr>
        <w:tc>
          <w:tcPr>
            <w:tcW w:w="638" w:type="dxa"/>
            <w:shd w:val="clear" w:color="auto" w:fill="F2F2F2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6.</w:t>
            </w:r>
          </w:p>
        </w:tc>
        <w:tc>
          <w:tcPr>
            <w:tcW w:w="4182" w:type="dxa"/>
            <w:shd w:val="clear" w:color="auto" w:fill="F2F2F2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výnosy PČ  (v Eur)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43 386,44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:rsidR="001B2176" w:rsidRPr="0035488C" w:rsidRDefault="00DA5538" w:rsidP="001B2176">
            <w:pPr>
              <w:jc w:val="right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eastAsia="sk-SK"/>
              </w:rPr>
              <w:t>34 755,83</w:t>
            </w:r>
          </w:p>
        </w:tc>
      </w:tr>
      <w:tr w:rsidR="001B2176" w:rsidRPr="0035488C" w:rsidTr="002C7594">
        <w:trPr>
          <w:trHeight w:hRule="exact" w:val="284"/>
        </w:trPr>
        <w:tc>
          <w:tcPr>
            <w:tcW w:w="638" w:type="dxa"/>
            <w:shd w:val="clear" w:color="auto" w:fill="00B0F0"/>
            <w:vAlign w:val="center"/>
            <w:hideMark/>
          </w:tcPr>
          <w:p w:rsidR="001B2176" w:rsidRPr="0035488C" w:rsidRDefault="001B2176" w:rsidP="001B2176">
            <w:pPr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</w:p>
        </w:tc>
        <w:tc>
          <w:tcPr>
            <w:tcW w:w="4182" w:type="dxa"/>
            <w:shd w:val="clear" w:color="auto" w:fill="00B0F0"/>
            <w:noWrap/>
            <w:vAlign w:val="center"/>
            <w:hideMark/>
          </w:tcPr>
          <w:p w:rsidR="001B2176" w:rsidRPr="0035488C" w:rsidRDefault="001B2176" w:rsidP="001B2176">
            <w:pP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hospodársky výsledok (v Eur)</w:t>
            </w:r>
          </w:p>
        </w:tc>
        <w:tc>
          <w:tcPr>
            <w:tcW w:w="1984" w:type="dxa"/>
            <w:shd w:val="clear" w:color="auto" w:fill="00B0F0"/>
            <w:noWrap/>
            <w:vAlign w:val="center"/>
          </w:tcPr>
          <w:p w:rsidR="001B2176" w:rsidRPr="0035488C" w:rsidRDefault="001B2176" w:rsidP="001B217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 w:rsidRPr="0035488C"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- 27 287,71</w:t>
            </w:r>
          </w:p>
        </w:tc>
        <w:tc>
          <w:tcPr>
            <w:tcW w:w="1985" w:type="dxa"/>
            <w:shd w:val="clear" w:color="auto" w:fill="00B0F0"/>
            <w:noWrap/>
            <w:vAlign w:val="center"/>
          </w:tcPr>
          <w:p w:rsidR="001B2176" w:rsidRPr="0035488C" w:rsidRDefault="00DA5538" w:rsidP="001B2176">
            <w:pPr>
              <w:jc w:val="right"/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  <w:szCs w:val="18"/>
                <w:lang w:eastAsia="sk-SK"/>
              </w:rPr>
              <w:t>- 25 785,38</w:t>
            </w:r>
          </w:p>
        </w:tc>
      </w:tr>
    </w:tbl>
    <w:p w:rsidR="00800C37" w:rsidRPr="00404200" w:rsidRDefault="00800C37" w:rsidP="001B5B1E">
      <w:pPr>
        <w:spacing w:line="276" w:lineRule="auto"/>
        <w:ind w:firstLine="426"/>
        <w:jc w:val="both"/>
        <w:rPr>
          <w:rStyle w:val="Vrazn"/>
          <w:rFonts w:asciiTheme="minorHAnsi" w:hAnsiTheme="minorHAnsi" w:cs="Arial"/>
          <w:b w:val="0"/>
          <w:color w:val="FF0000"/>
          <w:sz w:val="22"/>
          <w:szCs w:val="22"/>
        </w:rPr>
      </w:pPr>
    </w:p>
    <w:p w:rsidR="00E72057" w:rsidRPr="001B2176" w:rsidRDefault="00E72057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B2176">
        <w:rPr>
          <w:rFonts w:asciiTheme="minorHAnsi" w:hAnsiTheme="minorHAnsi" w:cs="Arial"/>
          <w:color w:val="000000" w:themeColor="text1"/>
          <w:sz w:val="22"/>
          <w:szCs w:val="22"/>
        </w:rPr>
        <w:t xml:space="preserve">Už niekoľko rokov po sebe vykazuje </w:t>
      </w:r>
      <w:r w:rsidR="00D126F3" w:rsidRPr="001B2176">
        <w:rPr>
          <w:rFonts w:asciiTheme="minorHAnsi" w:hAnsiTheme="minorHAnsi" w:cs="Arial"/>
          <w:color w:val="000000" w:themeColor="text1"/>
          <w:sz w:val="22"/>
          <w:szCs w:val="22"/>
        </w:rPr>
        <w:t xml:space="preserve">ŠJ </w:t>
      </w:r>
      <w:r w:rsidRPr="001B2176">
        <w:rPr>
          <w:rFonts w:asciiTheme="minorHAnsi" w:hAnsiTheme="minorHAnsi" w:cs="Arial"/>
          <w:color w:val="000000" w:themeColor="text1"/>
          <w:sz w:val="22"/>
          <w:szCs w:val="22"/>
        </w:rPr>
        <w:t xml:space="preserve">stratu. </w:t>
      </w:r>
      <w:r w:rsidR="00FB12E6">
        <w:rPr>
          <w:rFonts w:asciiTheme="minorHAnsi" w:hAnsiTheme="minorHAnsi" w:cs="Arial"/>
          <w:color w:val="000000" w:themeColor="text1"/>
          <w:sz w:val="22"/>
          <w:szCs w:val="22"/>
        </w:rPr>
        <w:t xml:space="preserve">Jednou z príčin je aj </w:t>
      </w:r>
      <w:r w:rsidRPr="001B2176">
        <w:rPr>
          <w:rFonts w:asciiTheme="minorHAnsi" w:hAnsiTheme="minorHAnsi" w:cs="Arial"/>
          <w:color w:val="000000" w:themeColor="text1"/>
          <w:sz w:val="22"/>
          <w:szCs w:val="22"/>
        </w:rPr>
        <w:t xml:space="preserve">postupné znižovanie počtu </w:t>
      </w:r>
      <w:r w:rsidR="00B533BB" w:rsidRPr="001B2176">
        <w:rPr>
          <w:rFonts w:asciiTheme="minorHAnsi" w:hAnsiTheme="minorHAnsi" w:cs="Arial"/>
          <w:color w:val="000000" w:themeColor="text1"/>
          <w:sz w:val="22"/>
          <w:szCs w:val="22"/>
        </w:rPr>
        <w:t>stravníkov</w:t>
      </w:r>
      <w:r w:rsidRPr="001B217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7C1C33" w:rsidRDefault="007C1C33" w:rsidP="001B5B1E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995F86" w:rsidRPr="0040622C" w:rsidRDefault="00995F86" w:rsidP="001B5B1E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7C1C33" w:rsidRPr="00E108C2" w:rsidRDefault="007C1C33" w:rsidP="007E3286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>2.</w:t>
      </w:r>
      <w:r w:rsidR="002E4743"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="00286DCF"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.2 </w:t>
      </w:r>
      <w:r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="00BB4FD2" w:rsidRPr="00E108C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Ubytovanie študentov</w:t>
      </w:r>
    </w:p>
    <w:p w:rsidR="004F21ED" w:rsidRPr="00E108C2" w:rsidRDefault="004F21ED" w:rsidP="009A7639">
      <w:pPr>
        <w:ind w:firstLine="426"/>
        <w:jc w:val="both"/>
        <w:rPr>
          <w:rFonts w:ascii="Arial" w:hAnsi="Arial" w:cs="Arial"/>
          <w:color w:val="000000" w:themeColor="text1"/>
        </w:rPr>
      </w:pPr>
    </w:p>
    <w:p w:rsidR="009A7639" w:rsidRPr="00E108C2" w:rsidRDefault="009A7639" w:rsidP="009A7639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>K 31.10.</w:t>
      </w:r>
      <w:r w:rsidR="003A2750" w:rsidRPr="00E108C2">
        <w:rPr>
          <w:rFonts w:asciiTheme="minorHAnsi" w:hAnsiTheme="minorHAnsi" w:cs="Arial"/>
          <w:color w:val="000000" w:themeColor="text1"/>
          <w:sz w:val="22"/>
          <w:szCs w:val="22"/>
        </w:rPr>
        <w:t>201</w:t>
      </w:r>
      <w:r w:rsidR="00500E3C" w:rsidRPr="00E108C2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Trnavská univerzita mala ubytovaných celkovo 7</w:t>
      </w:r>
      <w:r w:rsidR="00AD57C9" w:rsidRPr="00E108C2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="00500E3C" w:rsidRPr="00E108C2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študentov. Z toho v ŠD Petra Pázmaňa 2</w:t>
      </w:r>
      <w:r w:rsidR="0026148F" w:rsidRPr="00E108C2"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="00AD57C9" w:rsidRPr="00E108C2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študentov. Ubytovanie študentov univerzita naďalej zabezpečovala aj prostredníctvom zmluvných zariadení, v ktorých bolo ubytovaných </w:t>
      </w:r>
      <w:r w:rsidR="0026148F" w:rsidRPr="00E108C2"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="00500E3C" w:rsidRPr="00E108C2">
        <w:rPr>
          <w:rFonts w:asciiTheme="minorHAnsi" w:hAnsiTheme="minorHAnsi" w:cs="Arial"/>
          <w:color w:val="000000" w:themeColor="text1"/>
          <w:sz w:val="22"/>
          <w:szCs w:val="22"/>
        </w:rPr>
        <w:t>81</w:t>
      </w:r>
      <w:r w:rsidRPr="00E108C2">
        <w:rPr>
          <w:rFonts w:asciiTheme="minorHAnsi" w:hAnsiTheme="minorHAnsi" w:cs="Arial"/>
          <w:color w:val="000000" w:themeColor="text1"/>
          <w:sz w:val="22"/>
          <w:szCs w:val="22"/>
        </w:rPr>
        <w:t xml:space="preserve"> študentov.</w:t>
      </w:r>
    </w:p>
    <w:p w:rsidR="008C563A" w:rsidRDefault="008C563A" w:rsidP="009A7639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4D588F" w:rsidRDefault="004D588F" w:rsidP="009A7639">
      <w:pPr>
        <w:jc w:val="both"/>
        <w:rPr>
          <w:rFonts w:ascii="Arial" w:hAnsi="Arial" w:cs="Arial"/>
          <w:i/>
        </w:rPr>
      </w:pPr>
    </w:p>
    <w:p w:rsidR="006D6CEE" w:rsidRPr="00EE49A7" w:rsidRDefault="006D6CEE" w:rsidP="009A7639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0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="00633BD8"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</w:t>
      </w:r>
      <w:r w:rsidRPr="00EE49A7">
        <w:rPr>
          <w:rFonts w:asciiTheme="minorHAnsi" w:hAnsiTheme="minorHAnsi" w:cs="Arial"/>
          <w:b/>
          <w:color w:val="000000" w:themeColor="text1"/>
          <w:sz w:val="24"/>
          <w:szCs w:val="24"/>
        </w:rPr>
        <w:t>Centrum ďalšieho vzdelávania</w:t>
      </w:r>
    </w:p>
    <w:p w:rsidR="006D6CEE" w:rsidRPr="0031426D" w:rsidRDefault="006D6CEE" w:rsidP="007E3286">
      <w:pPr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Centrum ďalšieho vzdelávania zabezpečovalo 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aj 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 roku 2018 činnosti v rámci Univerzity tretieho veku (UTV) a Centra jazykov (CJ). 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 rámci celoživotného vzdelávania poskytuje Trnavská univerzita možnosť študovať na Univerzite tretieho veku (UTV), a to na dvoch pracoviskách: UTV na rektoráte TU v Trnave a UTV na Teologickej fakulte v Bratislave. Výučba prebieha formou prednášok a odborných exkurzií v závislostí od konkrétneho študijného programu. Absolventi získavajú osvedčenie o absolvovaní štúdia a štúdium je po troch rokoch ukončené slávnostnou promóciou; v ponuke sú aj jednoročné študijné programy, po ukončení ktorých získa absolvent doklad o absolvovaní daného kurzu. 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Na Univerzite tretieho veku pri Trnavskej univerzite študovalo v roku 2018 celk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ovo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671 študentov (392 v Trnave a 279 v Bratislave) v devätnástich študijných programoch a v šiestich špecializáciách. 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Seniori v Trnave prejavujú čoraz väčší záujem o štúdium cudzích jazykov, najmä anglického, ale aj 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d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ejín umenia, 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p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sychológie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a 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p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ráva.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 UTV v Bratislave ponúka jedinečnú možnosť študovať študijný program „Sväté písmo a systematická teológia“ aj dištančnou formou prostredníctvom televízie LUX. Absolventi tohto trojročného študijného programu môžu pokračovať v štúdiu v jednoročných špecializovaných programoch:  „Druhý vatikánsky koncil a jeho uvedenie na Slovensku“, „Pohľad na médiá cez teológiu“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a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„Religionistika“. 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Osvedčenie o ukončení štúdia získalo v roku 2018 celko</w:t>
      </w:r>
      <w:r w:rsidR="00F962DA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vo</w:t>
      </w: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164 absolventov UTV, z toho 145 v Trnave a 19 v Bratislave. 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V rámci Centra ďalšieho vzdelávania (CĎV) funguje od letného semestra akademického roka 2013/2014 aj Centrum jazykov, ktorého cieľom je poskytovanie možnosti získavania a prehlbovania jazykových zručností pre všetkých záujemcov o štúdium cudzích jazykov tak z radov študentov Trnavskej univerzity, ako aj širšej verejnosti. 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lastRenderedPageBreak/>
        <w:t>Centrum jazykov poskytuje výučbu slovenského jazyka zahraničným študentom v rámci programu ERASMUS v rozsahu dve vyučovacie hodiny za týždeň počas celého semestra ich štúdia na Trnavskej univerzite. Tento typ štúdia v roku 2018 absolvovalo 17 študentov.</w:t>
      </w:r>
    </w:p>
    <w:p w:rsidR="00EC3B76" w:rsidRPr="00EC3B76" w:rsidRDefault="00EC3B76" w:rsidP="00EC3B76">
      <w:pPr>
        <w:spacing w:before="100" w:beforeAutospacing="1" w:after="100" w:afterAutospacing="1" w:line="276" w:lineRule="auto"/>
        <w:ind w:firstLine="426"/>
        <w:jc w:val="both"/>
        <w:rPr>
          <w:sz w:val="24"/>
          <w:szCs w:val="24"/>
          <w:lang w:eastAsia="sk-SK"/>
        </w:rPr>
      </w:pPr>
      <w:r w:rsidRPr="00EC3B76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Cieľom Centra jazykov Trnavskej univerzity v Trnave je vytvorenie akademického prostredia pre štúdium odborného anglického jazyka v oblastiach, ktoré sú v súlade so študijnými programami jednotlivých fakúlt Trnavskej univerzity, aby absolventi Trnavskej univerzity disponovali adekvátnymi jazykovými zručnosťami v odbornom anglickom jazyku. </w:t>
      </w:r>
    </w:p>
    <w:p w:rsidR="004D588F" w:rsidRDefault="004D588F" w:rsidP="007E3286">
      <w:pPr>
        <w:jc w:val="both"/>
        <w:rPr>
          <w:rFonts w:ascii="Arial" w:hAnsi="Arial" w:cs="Arial"/>
          <w:b/>
        </w:rPr>
      </w:pPr>
    </w:p>
    <w:p w:rsidR="00E716DB" w:rsidRPr="00192847" w:rsidRDefault="00E716DB" w:rsidP="007E3286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92847">
        <w:rPr>
          <w:rFonts w:asciiTheme="minorHAnsi" w:hAnsiTheme="minorHAnsi" w:cs="Arial"/>
          <w:b/>
          <w:color w:val="000000" w:themeColor="text1"/>
          <w:sz w:val="24"/>
          <w:szCs w:val="24"/>
        </w:rPr>
        <w:t>2.1</w:t>
      </w:r>
      <w:r w:rsidR="002E4743" w:rsidRPr="00192847">
        <w:rPr>
          <w:rFonts w:asciiTheme="minorHAnsi" w:hAnsiTheme="minorHAnsi" w:cs="Arial"/>
          <w:b/>
          <w:color w:val="000000" w:themeColor="text1"/>
          <w:sz w:val="24"/>
          <w:szCs w:val="24"/>
        </w:rPr>
        <w:t>1</w:t>
      </w:r>
      <w:r w:rsidRPr="00192847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  Vnútorná legislatíva univerzity pre oblasť hospodárenia</w:t>
      </w:r>
    </w:p>
    <w:p w:rsidR="00E716DB" w:rsidRPr="00192847" w:rsidRDefault="00E716DB" w:rsidP="007E3286">
      <w:pPr>
        <w:ind w:firstLine="540"/>
        <w:jc w:val="both"/>
        <w:rPr>
          <w:rFonts w:ascii="Arial" w:hAnsi="Arial" w:cs="Arial"/>
          <w:b/>
          <w:color w:val="000000" w:themeColor="text1"/>
        </w:rPr>
      </w:pPr>
    </w:p>
    <w:p w:rsidR="00E716DB" w:rsidRPr="00192847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2847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súlade s platnou legislatívou a príslušnými ustanoveniami štatútu univerzity sa priebežne vydávajú nové </w:t>
      </w:r>
      <w:r w:rsidR="00FF05E5" w:rsidRPr="00192847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192847">
        <w:rPr>
          <w:rFonts w:asciiTheme="minorHAnsi" w:hAnsiTheme="minorHAnsi" w:cs="Arial"/>
          <w:color w:val="000000" w:themeColor="text1"/>
          <w:sz w:val="22"/>
          <w:szCs w:val="22"/>
        </w:rPr>
        <w:t>vnútorné predpisy, resp. sa novelizujú platné vnútorné predpisy, ktoré upravujú ekonomickú činnosť univerzity.</w:t>
      </w:r>
    </w:p>
    <w:p w:rsidR="00E716DB" w:rsidRPr="00192847" w:rsidRDefault="00E716DB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92847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 w:rsidR="00171A38" w:rsidRPr="00192847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192847">
        <w:rPr>
          <w:rFonts w:asciiTheme="minorHAnsi" w:hAnsiTheme="minorHAnsi" w:cs="Arial"/>
          <w:color w:val="000000" w:themeColor="text1"/>
          <w:sz w:val="22"/>
          <w:szCs w:val="22"/>
        </w:rPr>
        <w:t xml:space="preserve"> boli pre oblasť hospodárenia vydané tieto </w:t>
      </w:r>
      <w:r w:rsidR="00FF05E5" w:rsidRPr="00192847">
        <w:rPr>
          <w:rFonts w:asciiTheme="minorHAnsi" w:hAnsiTheme="minorHAnsi" w:cs="Arial"/>
          <w:color w:val="000000" w:themeColor="text1"/>
          <w:sz w:val="22"/>
          <w:szCs w:val="22"/>
        </w:rPr>
        <w:t xml:space="preserve">zásadné dokumenty a </w:t>
      </w:r>
      <w:r w:rsidRPr="00192847">
        <w:rPr>
          <w:rFonts w:asciiTheme="minorHAnsi" w:hAnsiTheme="minorHAnsi" w:cs="Arial"/>
          <w:color w:val="000000" w:themeColor="text1"/>
          <w:sz w:val="22"/>
          <w:szCs w:val="22"/>
        </w:rPr>
        <w:t xml:space="preserve">vnútorné predpisy </w:t>
      </w:r>
      <w:r w:rsidR="00FF05E5" w:rsidRPr="00192847"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192847">
        <w:rPr>
          <w:rFonts w:asciiTheme="minorHAnsi" w:hAnsiTheme="minorHAnsi" w:cs="Arial"/>
          <w:color w:val="000000" w:themeColor="text1"/>
          <w:sz w:val="22"/>
          <w:szCs w:val="22"/>
        </w:rPr>
        <w:t>univerzity:</w:t>
      </w:r>
    </w:p>
    <w:p w:rsidR="0059256A" w:rsidRDefault="001D4E75" w:rsidP="00513897">
      <w:pPr>
        <w:pStyle w:val="Normlnywebov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hyperlink r:id="rId15" w:history="1"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Cenník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nájomného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bytových a nebytových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priestorov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Trnavskej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univerzity v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, platný od 1.3.2018</w:t>
        </w:r>
      </w:hyperlink>
    </w:p>
    <w:p w:rsidR="0059256A" w:rsidRPr="0059256A" w:rsidRDefault="001D4E75" w:rsidP="00513897">
      <w:pPr>
        <w:pStyle w:val="Normlnywebov"/>
        <w:numPr>
          <w:ilvl w:val="0"/>
          <w:numId w:val="5"/>
        </w:numPr>
        <w:ind w:left="426" w:hanging="426"/>
        <w:jc w:val="both"/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hyperlink r:id="rId16" w:history="1"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</w:t>
        </w:r>
        <w:r w:rsidR="00513897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odatok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 3 k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Smernici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 14/2006 o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obehu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účtovných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dokladov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na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Trnavskej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univerzite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v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Trnave</w:t>
        </w:r>
        <w:proofErr w:type="spellEnd"/>
      </w:hyperlink>
    </w:p>
    <w:p w:rsidR="0059256A" w:rsidRPr="0059256A" w:rsidRDefault="001D4E75" w:rsidP="00513897">
      <w:pPr>
        <w:pStyle w:val="Normlnywebov"/>
        <w:numPr>
          <w:ilvl w:val="0"/>
          <w:numId w:val="5"/>
        </w:numPr>
        <w:ind w:left="426" w:hanging="426"/>
        <w:jc w:val="both"/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hyperlink r:id="rId17" w:history="1"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Dodatok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 1 k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smernici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rektora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Trnavskej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univerzity v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 1/2011 na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zabezpečenie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jednotného postupu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spracovávania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evidencie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účtovných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dokladov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pre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potreby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dane z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pridanej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hodnoty (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ďalej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len „DPH“)</w:t>
        </w:r>
      </w:hyperlink>
    </w:p>
    <w:p w:rsidR="0059256A" w:rsidRPr="0059256A" w:rsidRDefault="001D4E75" w:rsidP="00513897">
      <w:pPr>
        <w:pStyle w:val="Normlnywebov"/>
        <w:numPr>
          <w:ilvl w:val="0"/>
          <w:numId w:val="5"/>
        </w:numPr>
        <w:ind w:left="426" w:hanging="426"/>
        <w:jc w:val="both"/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hyperlink r:id="rId18" w:history="1"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D</w:t>
        </w:r>
        <w:r w:rsidR="00513897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odatok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 1 ku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Kolektívnej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zmluve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na roky 2017-2018</w:t>
        </w:r>
      </w:hyperlink>
    </w:p>
    <w:p w:rsidR="0059256A" w:rsidRPr="0059256A" w:rsidRDefault="001D4E75" w:rsidP="00513897">
      <w:pPr>
        <w:pStyle w:val="Normlnywebov"/>
        <w:numPr>
          <w:ilvl w:val="0"/>
          <w:numId w:val="5"/>
        </w:numPr>
        <w:ind w:left="426" w:hanging="426"/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hyperlink r:id="rId19" w:history="1"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Opatrenie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rektora č. 1/2018 na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vykonanie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riadnej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inventarizácie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(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ďalej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len „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inventarizácia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“) majetku,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záväzkov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a 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pohľadávok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Trnavskej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univerzity v 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Trnave</w:t>
        </w:r>
        <w:proofErr w:type="spellEnd"/>
      </w:hyperlink>
      <w:r w:rsidR="0059256A" w:rsidRPr="0059256A"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  <w:br/>
      </w:r>
      <w:hyperlink r:id="rId20" w:history="1"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Príloha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č.1 k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opatreniu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rektora č.1/2018</w:t>
        </w:r>
      </w:hyperlink>
    </w:p>
    <w:p w:rsidR="0059256A" w:rsidRPr="0059256A" w:rsidRDefault="001D4E75" w:rsidP="00513897">
      <w:pPr>
        <w:pStyle w:val="Normlnywebov"/>
        <w:numPr>
          <w:ilvl w:val="0"/>
          <w:numId w:val="5"/>
        </w:numPr>
        <w:ind w:left="426" w:hanging="426"/>
        <w:jc w:val="both"/>
        <w:rPr>
          <w:rStyle w:val="Hypertextovprepojenie"/>
          <w:color w:val="000000" w:themeColor="text1"/>
          <w:u w:val="none"/>
        </w:rPr>
      </w:pPr>
      <w:hyperlink r:id="rId21" w:history="1"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Vyhlášky rektora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Trnavskej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univerzity v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č. 11/2018, o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výške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školného 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poplatkov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spojených so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štúdiom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na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Trnavskej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univerzite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v </w:t>
        </w:r>
        <w:proofErr w:type="spellStart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>Trnave</w:t>
        </w:r>
        <w:proofErr w:type="spellEnd"/>
        <w:r w:rsidR="0059256A" w:rsidRPr="0059256A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  <w:u w:val="none"/>
          </w:rPr>
          <w:t xml:space="preserve"> na akademický rok 2019/2020</w:t>
        </w:r>
      </w:hyperlink>
      <w:r w:rsidR="00513897">
        <w:rPr>
          <w:rStyle w:val="Hypertextovprepojenie"/>
          <w:rFonts w:asciiTheme="minorHAnsi" w:hAnsiTheme="minorHAnsi" w:cstheme="minorHAnsi"/>
          <w:color w:val="000000" w:themeColor="text1"/>
          <w:sz w:val="22"/>
          <w:szCs w:val="22"/>
          <w:u w:val="none"/>
        </w:rPr>
        <w:t>.</w:t>
      </w:r>
    </w:p>
    <w:p w:rsidR="0059256A" w:rsidRPr="0059256A" w:rsidRDefault="0059256A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71A38" w:rsidRDefault="00171A38" w:rsidP="00525344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B6D41" w:rsidRPr="00525344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5E2432">
        <w:rPr>
          <w:rFonts w:asciiTheme="minorHAnsi" w:hAnsiTheme="minorHAnsi" w:cs="Arial"/>
          <w:b/>
          <w:color w:val="000000" w:themeColor="text1"/>
          <w:sz w:val="26"/>
          <w:szCs w:val="26"/>
        </w:rPr>
        <w:t>3. R</w:t>
      </w:r>
      <w:r w:rsidR="00D21F98" w:rsidRPr="005E2432">
        <w:rPr>
          <w:rFonts w:asciiTheme="minorHAnsi" w:hAnsiTheme="minorHAnsi" w:cs="Arial"/>
          <w:b/>
          <w:color w:val="000000" w:themeColor="text1"/>
          <w:sz w:val="26"/>
          <w:szCs w:val="26"/>
        </w:rPr>
        <w:t>OČNÁ  ÚČTOVNÁ  ZÁVIERKA</w:t>
      </w:r>
    </w:p>
    <w:p w:rsidR="009B6D41" w:rsidRPr="007E3286" w:rsidRDefault="009B6D41" w:rsidP="007E3286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D5845" w:rsidRPr="00525344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Ročná účtovná závierka má štandardnú štruktúru podľa § 17 zákona č. 431/2002 Z. z. o účtovníctve v znení neskorších predpisov a opatrenia Ministerstva financií SR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č.  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MF/17616/2013-74 z 30.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októbra 2013, ktorým sa ustanovujú účtovné výkazy a rozsah údajov určených z účtovnej závierky na zverejnenie pre účtovné jednotky, ktoré nie sú založené alebo zriadené na účel podnikania, uverejneného vo Finančnom spravodajcovi č. 11/2013,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neskorších predpisov a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opatrenia MF SR zo  14. novembra 2007 č. MF/24342/2007-74, ktorým sa ustanovujú podrobnosti o postupoch účtovania a účtovnej osnove pre  účtovné jednotky, ktoré nie sú založené alebo zriadené na účel podnikania v znení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neskorších predpisov</w:t>
      </w:r>
      <w:r w:rsidRPr="00E04E91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FD5845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D5845" w:rsidRPr="00525344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Ročná účtovná závierka obsahuje nasledovné časti:</w:t>
      </w:r>
    </w:p>
    <w:p w:rsidR="00FD5845" w:rsidRDefault="00FD5845" w:rsidP="00FD5845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a)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Súvaha a v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ýkaz ziskov a strát   Uč. NUJ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1-01,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2-01,</w:t>
      </w:r>
    </w:p>
    <w:p w:rsidR="00FD5845" w:rsidRDefault="00FD5845" w:rsidP="006222D9">
      <w:pPr>
        <w:pStyle w:val="Odsekzoznamu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</w:rPr>
      </w:pPr>
      <w:r w:rsidRPr="006222D9">
        <w:rPr>
          <w:rFonts w:asciiTheme="minorHAnsi" w:hAnsiTheme="minorHAnsi" w:cs="Arial"/>
          <w:color w:val="000000" w:themeColor="text1"/>
        </w:rPr>
        <w:t>sumárne za celú verejnú vysokú školu</w:t>
      </w:r>
    </w:p>
    <w:p w:rsidR="006222D9" w:rsidRDefault="006222D9" w:rsidP="006222D9">
      <w:pPr>
        <w:pStyle w:val="Odsekzoznamu"/>
        <w:numPr>
          <w:ilvl w:val="0"/>
          <w:numId w:val="43"/>
        </w:numPr>
        <w:jc w:val="both"/>
        <w:rPr>
          <w:rFonts w:asciiTheme="minorHAnsi" w:hAnsiTheme="minorHAnsi" w:cs="Arial"/>
          <w:color w:val="000000" w:themeColor="text1"/>
        </w:rPr>
      </w:pPr>
      <w:r w:rsidRPr="006222D9">
        <w:rPr>
          <w:rFonts w:asciiTheme="minorHAnsi" w:hAnsiTheme="minorHAnsi" w:cs="Arial"/>
          <w:color w:val="000000" w:themeColor="text1"/>
        </w:rPr>
        <w:t>výkaz ziskov a strát osobitne v oblasti sociálnej podpory študentov</w:t>
      </w:r>
    </w:p>
    <w:p w:rsidR="00FD5845" w:rsidRPr="008D7E4F" w:rsidRDefault="00FD5845" w:rsidP="006222D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D7E4F">
        <w:rPr>
          <w:rFonts w:asciiTheme="minorHAnsi" w:hAnsiTheme="minorHAnsi" w:cs="Arial"/>
          <w:color w:val="000000" w:themeColor="text1"/>
          <w:sz w:val="22"/>
          <w:szCs w:val="22"/>
        </w:rPr>
        <w:t>b)  Poznámky k  účtovnej závierke Uč. NUJ 3-01,</w:t>
      </w:r>
    </w:p>
    <w:p w:rsidR="00FD5845" w:rsidRDefault="00FD5845" w:rsidP="00FD5845">
      <w:pPr>
        <w:spacing w:line="276" w:lineRule="auto"/>
        <w:ind w:left="567" w:hanging="56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c)  Rozbor výsledku hospodárenia</w:t>
      </w:r>
      <w:r w:rsidR="006222D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D5845" w:rsidRDefault="00FD5845" w:rsidP="00FD5845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FD5845" w:rsidRPr="00525344" w:rsidRDefault="00FD5845" w:rsidP="00FD5845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V súlade s ustanovením §19 ods. 3 zákona o vysokých školách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ne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>má univerzita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 povinnosť overenia účtovnej závierky audítorom.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Výkazy ročnej účtovnej závierky v bodoch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a),   b),  c)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sa nachádzajú </w:t>
      </w:r>
      <w:r w:rsidRPr="007D56CC">
        <w:rPr>
          <w:rFonts w:asciiTheme="minorHAnsi" w:hAnsiTheme="minorHAnsi" w:cs="Arial"/>
          <w:color w:val="000000" w:themeColor="text1"/>
          <w:sz w:val="22"/>
          <w:szCs w:val="22"/>
        </w:rPr>
        <w:t>v prílohe č.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525344">
        <w:rPr>
          <w:rFonts w:asciiTheme="minorHAnsi" w:hAnsiTheme="minorHAnsi" w:cs="Arial"/>
          <w:color w:val="000000" w:themeColor="text1"/>
          <w:sz w:val="22"/>
          <w:szCs w:val="22"/>
        </w:rPr>
        <w:t xml:space="preserve">tejto správy.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</w:t>
      </w:r>
    </w:p>
    <w:p w:rsidR="00FD5845" w:rsidRPr="005C4A0E" w:rsidRDefault="00FD5845" w:rsidP="00FD5845">
      <w:pPr>
        <w:ind w:firstLine="709"/>
        <w:jc w:val="both"/>
        <w:rPr>
          <w:rFonts w:ascii="Arial" w:hAnsi="Arial" w:cs="Arial"/>
          <w:color w:val="00B050"/>
        </w:rPr>
      </w:pPr>
    </w:p>
    <w:p w:rsidR="00FD5845" w:rsidRDefault="00FD5845" w:rsidP="00FD5845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D5845" w:rsidRPr="008219FC" w:rsidRDefault="00FD5845" w:rsidP="00FD5845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3.1 Súvaha </w:t>
      </w:r>
    </w:p>
    <w:p w:rsidR="00FD5845" w:rsidRPr="007E3286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Pr="00D93F77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Vykazované aktíva predstavujú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31 708 620</w:t>
      </w:r>
      <w:r w:rsidRPr="00D93F77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</w:t>
      </w:r>
      <w:r w:rsidRPr="00D93F77">
        <w:rPr>
          <w:rFonts w:asciiTheme="minorHAnsi" w:hAnsiTheme="minorHAnsi" w:cs="Arial"/>
          <w:sz w:val="22"/>
          <w:szCs w:val="22"/>
        </w:rPr>
        <w:t>Za sledované obdobie sa objem aktív z</w:t>
      </w:r>
      <w:r>
        <w:rPr>
          <w:rFonts w:asciiTheme="minorHAnsi" w:hAnsiTheme="minorHAnsi" w:cs="Arial"/>
          <w:sz w:val="22"/>
          <w:szCs w:val="22"/>
        </w:rPr>
        <w:t>výšil</w:t>
      </w:r>
      <w:r w:rsidRPr="00D93F77">
        <w:rPr>
          <w:rFonts w:asciiTheme="minorHAnsi" w:hAnsiTheme="minorHAnsi" w:cs="Arial"/>
          <w:sz w:val="22"/>
          <w:szCs w:val="22"/>
        </w:rPr>
        <w:t xml:space="preserve"> o</w:t>
      </w:r>
      <w:r w:rsidR="008F3CFE">
        <w:rPr>
          <w:rFonts w:asciiTheme="minorHAnsi" w:hAnsiTheme="minorHAnsi" w:cs="Arial"/>
          <w:sz w:val="22"/>
          <w:szCs w:val="22"/>
        </w:rPr>
        <w:t> 1 150 612</w:t>
      </w:r>
      <w:r w:rsidR="00794149">
        <w:rPr>
          <w:rFonts w:asciiTheme="minorHAnsi" w:hAnsiTheme="minorHAnsi" w:cs="Arial"/>
          <w:sz w:val="22"/>
          <w:szCs w:val="22"/>
        </w:rPr>
        <w:t xml:space="preserve"> </w:t>
      </w:r>
      <w:r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Eur </w:t>
      </w:r>
      <w:r w:rsidRPr="00D93F77">
        <w:rPr>
          <w:rFonts w:asciiTheme="minorHAnsi" w:hAnsiTheme="minorHAnsi" w:cs="Arial"/>
          <w:sz w:val="22"/>
          <w:szCs w:val="22"/>
        </w:rPr>
        <w:t>v obstarávacej cene,  v zostatkovej hodnote  bola hodnota aktív  o</w:t>
      </w:r>
      <w:r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57 089</w:t>
      </w:r>
      <w:r w:rsidRPr="005B173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 </w:t>
      </w:r>
      <w:r>
        <w:rPr>
          <w:rFonts w:asciiTheme="minorHAnsi" w:hAnsiTheme="minorHAnsi" w:cs="Arial"/>
          <w:sz w:val="22"/>
          <w:szCs w:val="22"/>
        </w:rPr>
        <w:t>nižšia</w:t>
      </w:r>
      <w:r w:rsidRPr="00D93F77">
        <w:rPr>
          <w:rFonts w:asciiTheme="minorHAnsi" w:hAnsiTheme="minorHAnsi" w:cs="Arial"/>
          <w:sz w:val="22"/>
          <w:szCs w:val="22"/>
        </w:rPr>
        <w:t xml:space="preserve">  v porovnaní s predchádzajúcim obdobím. </w:t>
      </w:r>
    </w:p>
    <w:p w:rsidR="00FD5845" w:rsidRPr="00AB1984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D93F77">
        <w:rPr>
          <w:rFonts w:asciiTheme="minorHAnsi" w:hAnsiTheme="minorHAnsi" w:cs="Arial"/>
          <w:sz w:val="22"/>
          <w:szCs w:val="22"/>
        </w:rPr>
        <w:t>Hlavný podiel na majetku Trnavskej univerzity má dlhodobý</w:t>
      </w:r>
      <w:r w:rsidRPr="00AB1984">
        <w:rPr>
          <w:rFonts w:asciiTheme="minorHAnsi" w:hAnsiTheme="minorHAnsi" w:cs="Arial"/>
          <w:sz w:val="22"/>
          <w:szCs w:val="22"/>
        </w:rPr>
        <w:t xml:space="preserve"> majetok</w:t>
      </w:r>
      <w:r w:rsidR="00106384">
        <w:rPr>
          <w:rFonts w:asciiTheme="minorHAnsi" w:hAnsiTheme="minorHAnsi" w:cs="Arial"/>
          <w:sz w:val="22"/>
          <w:szCs w:val="22"/>
        </w:rPr>
        <w:t xml:space="preserve"> (stále aktíva)</w:t>
      </w:r>
      <w:r w:rsidRPr="00AB1984">
        <w:rPr>
          <w:rFonts w:asciiTheme="minorHAnsi" w:hAnsiTheme="minorHAnsi" w:cs="Arial"/>
          <w:sz w:val="22"/>
          <w:szCs w:val="22"/>
        </w:rPr>
        <w:t xml:space="preserve">, ktorého podiel predstavuje </w:t>
      </w:r>
      <w:r>
        <w:rPr>
          <w:rFonts w:asciiTheme="minorHAnsi" w:hAnsiTheme="minorHAnsi" w:cs="Arial"/>
          <w:sz w:val="22"/>
          <w:szCs w:val="22"/>
        </w:rPr>
        <w:t>67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10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Podiel obežných aktív je </w:t>
      </w:r>
      <w:r>
        <w:rPr>
          <w:rFonts w:asciiTheme="minorHAnsi" w:hAnsiTheme="minorHAnsi" w:cs="Arial"/>
          <w:sz w:val="22"/>
          <w:szCs w:val="22"/>
        </w:rPr>
        <w:t>32,6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%. </w:t>
      </w:r>
      <w:r w:rsidRPr="00AB1984">
        <w:rPr>
          <w:rFonts w:asciiTheme="minorHAnsi" w:hAnsiTheme="minorHAnsi" w:cs="Arial"/>
          <w:sz w:val="22"/>
          <w:szCs w:val="22"/>
        </w:rPr>
        <w:t xml:space="preserve">Z obežných aktív majú najväčší podiel až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95 </w:t>
      </w:r>
      <w:r w:rsidRPr="00AB1984">
        <w:rPr>
          <w:rFonts w:asciiTheme="minorHAnsi" w:hAnsiTheme="minorHAnsi" w:cs="Arial"/>
          <w:sz w:val="22"/>
          <w:szCs w:val="22"/>
        </w:rPr>
        <w:t>%  finančné p</w:t>
      </w:r>
      <w:r>
        <w:rPr>
          <w:rFonts w:asciiTheme="minorHAnsi" w:hAnsiTheme="minorHAnsi" w:cs="Arial"/>
          <w:sz w:val="22"/>
          <w:szCs w:val="22"/>
        </w:rPr>
        <w:t>rostriedky na bankových účtoch.</w:t>
      </w:r>
    </w:p>
    <w:p w:rsidR="00FD5845" w:rsidRPr="007B63D9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AB1984">
        <w:rPr>
          <w:rFonts w:asciiTheme="minorHAnsi" w:hAnsiTheme="minorHAnsi" w:cs="Arial"/>
          <w:sz w:val="22"/>
          <w:szCs w:val="22"/>
        </w:rPr>
        <w:t xml:space="preserve">Z  celkového  objemu  zdrojov  predstavujú vlastné  zdroje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33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 a cudzie zdroje 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>4,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E5441">
        <w:rPr>
          <w:rFonts w:asciiTheme="minorHAnsi" w:hAnsiTheme="minorHAnsi" w:cs="Arial"/>
          <w:color w:val="000000" w:themeColor="text1"/>
          <w:sz w:val="22"/>
          <w:szCs w:val="22"/>
        </w:rPr>
        <w:t xml:space="preserve">  </w:t>
      </w:r>
      <w:r w:rsidRPr="00AB1984">
        <w:rPr>
          <w:rFonts w:asciiTheme="minorHAnsi" w:hAnsiTheme="minorHAnsi" w:cs="Arial"/>
          <w:sz w:val="22"/>
          <w:szCs w:val="22"/>
        </w:rPr>
        <w:t>%-</w:t>
      </w:r>
      <w:proofErr w:type="spellStart"/>
      <w:r w:rsidRPr="00AB1984">
        <w:rPr>
          <w:rFonts w:asciiTheme="minorHAnsi" w:hAnsiTheme="minorHAnsi" w:cs="Arial"/>
          <w:sz w:val="22"/>
          <w:szCs w:val="22"/>
        </w:rPr>
        <w:t>ný</w:t>
      </w:r>
      <w:proofErr w:type="spellEnd"/>
      <w:r w:rsidRPr="00AB1984">
        <w:rPr>
          <w:rFonts w:asciiTheme="minorHAnsi" w:hAnsiTheme="minorHAnsi" w:cs="Arial"/>
          <w:sz w:val="22"/>
          <w:szCs w:val="22"/>
        </w:rPr>
        <w:t xml:space="preserve"> podiel. Významnú položku tvoria prechodné účty pasív, ktorých percentuálny podiel je </w:t>
      </w:r>
      <w:r>
        <w:rPr>
          <w:rFonts w:asciiTheme="minorHAnsi" w:hAnsiTheme="minorHAnsi" w:cs="Arial"/>
          <w:sz w:val="22"/>
          <w:szCs w:val="22"/>
        </w:rPr>
        <w:t>6</w:t>
      </w:r>
      <w:r w:rsidRPr="00ED72A6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,1</w:t>
      </w:r>
      <w:r w:rsidRPr="00ED72A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AB1984">
        <w:rPr>
          <w:rFonts w:asciiTheme="minorHAnsi" w:hAnsiTheme="minorHAnsi" w:cs="Arial"/>
          <w:sz w:val="22"/>
          <w:szCs w:val="22"/>
        </w:rPr>
        <w:t xml:space="preserve">% z celkových zdrojov, pričom najväčšiu položku prechodných účtov pasív tvorí časové rozlíšenie kapitálovej dotácie, a to </w:t>
      </w:r>
      <w:r w:rsidRPr="005E278B">
        <w:rPr>
          <w:rFonts w:asciiTheme="minorHAnsi" w:hAnsiTheme="minorHAnsi" w:cs="Arial"/>
          <w:sz w:val="22"/>
          <w:szCs w:val="22"/>
        </w:rPr>
        <w:t>až 9</w:t>
      </w:r>
      <w:r>
        <w:rPr>
          <w:rFonts w:asciiTheme="minorHAnsi" w:hAnsiTheme="minorHAnsi" w:cs="Arial"/>
          <w:sz w:val="22"/>
          <w:szCs w:val="22"/>
        </w:rPr>
        <w:t>2</w:t>
      </w:r>
      <w:r w:rsidRPr="005E278B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2 %. </w:t>
      </w:r>
      <w:r w:rsidRPr="00AB1984">
        <w:rPr>
          <w:rFonts w:asciiTheme="minorHAnsi" w:hAnsiTheme="minorHAnsi" w:cs="Arial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C87C48">
        <w:rPr>
          <w:rFonts w:asciiTheme="minorHAnsi" w:hAnsiTheme="minorHAnsi" w:cs="Arial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nevyčerpané účelové dotácie a pod.</w:t>
      </w:r>
    </w:p>
    <w:p w:rsidR="00FD5845" w:rsidRPr="007E3286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Pr="008219FC" w:rsidRDefault="00FD5845" w:rsidP="00FD5845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8219FC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3.2 Výkaz ziskov a strát </w:t>
      </w:r>
    </w:p>
    <w:p w:rsidR="00FD5845" w:rsidRPr="007E3286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Pr="00354EE6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 súlade s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 opatrením Ministerstva financií SR č. MF/17616/2013-74 Trnavská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sleduje oddelene náklady a výnosy za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hlavnú nezdaňovanú a zdaňovanú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činnosť. Oddelené sledovanie nákladov a výnosov dáva ucelený pohľad na dosiahnutú ekonomickú efektívnosť.    </w:t>
      </w:r>
    </w:p>
    <w:p w:rsidR="00FD5845" w:rsidRPr="007E3286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Pr="00354EE6" w:rsidRDefault="00FD5845" w:rsidP="00FD5845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>3.3 Poznámky k účtovnej závierke</w:t>
      </w:r>
    </w:p>
    <w:p w:rsidR="00FD5845" w:rsidRPr="007E3286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Pr="00354EE6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Poznámky k účtovnej závierke obsahujú údaje vyplývajúce z §18 ods. 5 a 6 zákona o účtovníctve a </w:t>
      </w:r>
      <w:r w:rsidRPr="008B7DB0">
        <w:rPr>
          <w:rFonts w:asciiTheme="minorHAnsi" w:hAnsiTheme="minorHAnsi" w:cs="Arial"/>
          <w:color w:val="000000" w:themeColor="text1"/>
          <w:sz w:val="22"/>
          <w:szCs w:val="22"/>
        </w:rPr>
        <w:t>tvoria prílohu č. 1 tejto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správy.</w:t>
      </w:r>
    </w:p>
    <w:p w:rsidR="00FD5845" w:rsidRPr="007E3286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Default="00FD5845" w:rsidP="00FD5845">
      <w:pPr>
        <w:jc w:val="both"/>
        <w:rPr>
          <w:rFonts w:ascii="Arial" w:hAnsi="Arial" w:cs="Arial"/>
          <w:b/>
          <w:color w:val="000000" w:themeColor="text1"/>
        </w:rPr>
      </w:pPr>
    </w:p>
    <w:p w:rsidR="00FD5845" w:rsidRPr="00354EE6" w:rsidRDefault="00FD5845" w:rsidP="00FD5845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354EE6">
        <w:rPr>
          <w:rFonts w:asciiTheme="minorHAnsi" w:hAnsiTheme="minorHAnsi" w:cs="Arial"/>
          <w:b/>
          <w:color w:val="000000" w:themeColor="text1"/>
          <w:sz w:val="24"/>
          <w:szCs w:val="24"/>
        </w:rPr>
        <w:t xml:space="preserve">3.4 Rozbor hospodárskeho výsledku </w:t>
      </w:r>
    </w:p>
    <w:p w:rsidR="00FD5845" w:rsidRPr="007E3286" w:rsidRDefault="00FD5845" w:rsidP="00FD5845">
      <w:pPr>
        <w:ind w:firstLine="426"/>
        <w:jc w:val="both"/>
        <w:rPr>
          <w:rFonts w:ascii="Arial" w:hAnsi="Arial" w:cs="Arial"/>
          <w:color w:val="000000" w:themeColor="text1"/>
        </w:rPr>
      </w:pPr>
    </w:p>
    <w:p w:rsidR="00FD5845" w:rsidRPr="00E92D90" w:rsidRDefault="00FD5845" w:rsidP="00FD5845">
      <w:pPr>
        <w:jc w:val="both"/>
        <w:rPr>
          <w:rFonts w:ascii="Arial" w:hAnsi="Arial" w:cs="Arial"/>
          <w:b/>
        </w:rPr>
      </w:pPr>
    </w:p>
    <w:p w:rsidR="00FD5845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V roku 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 dosiahla Trnavská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kladný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 hospodársky  výsledok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79 238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Eur,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toho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z </w:t>
      </w:r>
      <w:r w:rsidR="00211AF4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55 042</w:t>
      </w:r>
      <w:r w:rsidRPr="00763356">
        <w:rPr>
          <w:rFonts w:asciiTheme="minorHAnsi" w:hAnsiTheme="minorHAnsi" w:cs="Arial"/>
          <w:color w:val="00B050"/>
          <w:sz w:val="22"/>
          <w:szCs w:val="22"/>
        </w:rPr>
        <w:t xml:space="preserve"> 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Eur a z </w:t>
      </w:r>
      <w:r w:rsidR="00211AF4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zisk vo výške</w:t>
      </w:r>
      <w:r w:rsidR="00211AF4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24</w:t>
      </w:r>
      <w:r w:rsidR="00211AF4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196</w:t>
      </w:r>
      <w:r w:rsidR="00211AF4" w:rsidRPr="00354EE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4847C2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Hospodársky výsledok po zdanení podľa súčastí univerzity a platného členenia pracovný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ch úsekov v informačnom systéme SOFIA v Eur je uvedený v tabuľke č.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354E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D5845" w:rsidRDefault="00FD5845" w:rsidP="00FD5845">
      <w:pPr>
        <w:rPr>
          <w:rFonts w:ascii="Arial" w:hAnsi="Arial" w:cs="Arial"/>
          <w:i/>
        </w:rPr>
      </w:pPr>
    </w:p>
    <w:p w:rsidR="00FD5845" w:rsidRDefault="00FD5845" w:rsidP="00FD5845">
      <w:pPr>
        <w:rPr>
          <w:rFonts w:ascii="Arial" w:hAnsi="Arial" w:cs="Arial"/>
          <w:i/>
        </w:rPr>
      </w:pPr>
    </w:p>
    <w:p w:rsidR="00FD5845" w:rsidRDefault="00FD5845" w:rsidP="00FD5845">
      <w:pPr>
        <w:rPr>
          <w:rFonts w:ascii="Arial" w:hAnsi="Arial" w:cs="Arial"/>
          <w:i/>
        </w:rPr>
      </w:pPr>
    </w:p>
    <w:p w:rsidR="00FD5845" w:rsidRDefault="00FD5845" w:rsidP="00FD584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Tabuľka č. 8   Hospodársky výsledok po zdanení (rok 2018) - podľa súčastí Trnavskej univerzity v Eur: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059"/>
        <w:gridCol w:w="1811"/>
        <w:gridCol w:w="1825"/>
        <w:gridCol w:w="1973"/>
      </w:tblGrid>
      <w:tr w:rsidR="00FD5845" w:rsidTr="008E4A61">
        <w:trPr>
          <w:trHeight w:hRule="exact" w:val="520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D5845" w:rsidRPr="00C56068" w:rsidRDefault="00FD5845" w:rsidP="00BE4917">
            <w:pPr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D5845" w:rsidRPr="00C56068" w:rsidRDefault="00FD5845" w:rsidP="00BE4917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Hlavná činnosť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D5845" w:rsidRPr="00C56068" w:rsidRDefault="00FD5845" w:rsidP="00BE4917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Podnikateľská</w:t>
            </w: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 xml:space="preserve"> činnosť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D5845" w:rsidRPr="00C56068" w:rsidRDefault="00FD5845" w:rsidP="00BE4917">
            <w:pPr>
              <w:jc w:val="center"/>
              <w:rPr>
                <w:rFonts w:asciiTheme="minorHAnsi" w:hAnsiTheme="minorHAnsi" w:cs="Arial"/>
                <w:sz w:val="18"/>
                <w:szCs w:val="18"/>
                <w:lang w:eastAsia="sk-SK"/>
              </w:rPr>
            </w:pPr>
            <w:r w:rsidRPr="00C56068">
              <w:rPr>
                <w:rFonts w:asciiTheme="minorHAnsi" w:eastAsiaTheme="minorHAnsi" w:hAnsiTheme="minorHAnsi" w:cs="Arial"/>
                <w:b/>
                <w:sz w:val="18"/>
                <w:szCs w:val="18"/>
                <w:lang w:eastAsia="sk-SK"/>
              </w:rPr>
              <w:t>Spolu</w:t>
            </w:r>
          </w:p>
        </w:tc>
      </w:tr>
      <w:tr w:rsidR="00FD5845" w:rsidTr="00BE4917">
        <w:trPr>
          <w:trHeight w:hRule="exact" w:val="308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Filozofická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Pr="006C1377" w:rsidRDefault="00FD5845" w:rsidP="00FD5845">
            <w:pPr>
              <w:pStyle w:val="Odsekzoznamu"/>
              <w:numPr>
                <w:ilvl w:val="0"/>
                <w:numId w:val="42"/>
              </w:numPr>
              <w:jc w:val="right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>16 252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-12 373</w:t>
            </w:r>
          </w:p>
        </w:tc>
      </w:tr>
      <w:tr w:rsidR="00FD5845" w:rsidTr="00BE4917">
        <w:trPr>
          <w:trHeight w:hRule="exact" w:val="27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Pedagogická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54 095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54 109</w:t>
            </w:r>
          </w:p>
        </w:tc>
      </w:tr>
      <w:tr w:rsidR="00FD5845" w:rsidTr="00BE4917">
        <w:trPr>
          <w:trHeight w:hRule="exact" w:val="28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Fakulta zdrav. a soc. práce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11 130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2 588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13 718</w:t>
            </w:r>
          </w:p>
        </w:tc>
      </w:tr>
      <w:tr w:rsidR="00FD5845" w:rsidTr="00BE4917">
        <w:trPr>
          <w:trHeight w:hRule="exact" w:val="279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Teologická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4 638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4 638</w:t>
            </w:r>
          </w:p>
        </w:tc>
      </w:tr>
      <w:tr w:rsidR="00FD5845" w:rsidTr="00BE4917">
        <w:trPr>
          <w:trHeight w:hRule="exact" w:val="283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Právnická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-29 405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1 362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-28 043</w:t>
            </w:r>
          </w:p>
        </w:tc>
      </w:tr>
      <w:tr w:rsidR="00FD5845" w:rsidTr="00BE4917">
        <w:trPr>
          <w:trHeight w:hRule="exact" w:val="28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Študentský domov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-745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-492</w:t>
            </w:r>
          </w:p>
        </w:tc>
      </w:tr>
      <w:tr w:rsidR="00FD5845" w:rsidTr="00BE4917">
        <w:trPr>
          <w:trHeight w:hRule="exact" w:val="27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Študentská jedáleň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-23 459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-2 326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-25 785</w:t>
            </w:r>
          </w:p>
        </w:tc>
      </w:tr>
      <w:tr w:rsidR="00FD5845" w:rsidTr="00BE4917">
        <w:trPr>
          <w:trHeight w:hRule="exact" w:val="295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RTU a pracoviská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19 424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73 466</w:t>
            </w:r>
          </w:p>
        </w:tc>
      </w:tr>
      <w:tr w:rsidR="00FD5845" w:rsidTr="00BE4917">
        <w:trPr>
          <w:trHeight w:hRule="exact" w:val="397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D5845" w:rsidRPr="00C56068" w:rsidRDefault="00FD5845" w:rsidP="00BE4917">
            <w:pPr>
              <w:pStyle w:val="Bezriadkovania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C56068">
              <w:rPr>
                <w:rFonts w:asciiTheme="minorHAnsi" w:eastAsiaTheme="minorHAnsi" w:hAnsiTheme="minorHAnsi" w:cs="Arial"/>
                <w:sz w:val="18"/>
                <w:szCs w:val="18"/>
              </w:rPr>
              <w:t>TU spolu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5845" w:rsidRDefault="00FD5845" w:rsidP="00BE49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55 042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24 196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D5845" w:rsidRDefault="00FD5845" w:rsidP="00BE491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79 238</w:t>
            </w:r>
          </w:p>
        </w:tc>
      </w:tr>
    </w:tbl>
    <w:p w:rsidR="00FD5845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95F86" w:rsidRDefault="00995F86" w:rsidP="00FD5845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D5845" w:rsidRPr="00B2442C" w:rsidRDefault="00FD5845" w:rsidP="00FD5845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3.4.1  </w:t>
      </w:r>
      <w:r w:rsidR="00AF689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Hlavná 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činnosť </w:t>
      </w:r>
    </w:p>
    <w:p w:rsidR="00FD5845" w:rsidRPr="007E3286" w:rsidRDefault="00FD5845" w:rsidP="00FD5845">
      <w:pPr>
        <w:jc w:val="both"/>
        <w:rPr>
          <w:rFonts w:ascii="Arial" w:hAnsi="Arial" w:cs="Arial"/>
          <w:i/>
          <w:color w:val="000000" w:themeColor="text1"/>
        </w:rPr>
      </w:pPr>
    </w:p>
    <w:p w:rsidR="00FD5845" w:rsidRPr="00E915D4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>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dosiahli jednotlivé súčasti Trnavskej univerzity väčšinou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zisk</w:t>
      </w:r>
      <w:r w:rsidRPr="007C16B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E915D4">
        <w:rPr>
          <w:rFonts w:asciiTheme="minorHAnsi" w:hAnsiTheme="minorHAnsi" w:cs="Arial"/>
          <w:sz w:val="22"/>
          <w:szCs w:val="22"/>
        </w:rPr>
        <w:t>. FF zaznamenala nárast miezd a</w:t>
      </w:r>
      <w:r>
        <w:rPr>
          <w:rFonts w:asciiTheme="minorHAnsi" w:hAnsiTheme="minorHAnsi" w:cs="Arial"/>
          <w:sz w:val="22"/>
          <w:szCs w:val="22"/>
        </w:rPr>
        <w:t> </w:t>
      </w:r>
      <w:r w:rsidRPr="00E915D4">
        <w:rPr>
          <w:rFonts w:asciiTheme="minorHAnsi" w:hAnsiTheme="minorHAnsi" w:cs="Arial"/>
          <w:sz w:val="22"/>
          <w:szCs w:val="22"/>
        </w:rPr>
        <w:t>odvodov</w:t>
      </w:r>
      <w:r>
        <w:rPr>
          <w:rFonts w:asciiTheme="minorHAnsi" w:hAnsiTheme="minorHAnsi" w:cs="Arial"/>
          <w:sz w:val="22"/>
          <w:szCs w:val="22"/>
        </w:rPr>
        <w:t xml:space="preserve"> o</w:t>
      </w:r>
      <w:r w:rsidR="00DB3E2F">
        <w:rPr>
          <w:rFonts w:asciiTheme="minorHAnsi" w:hAnsiTheme="minorHAnsi" w:cs="Arial"/>
          <w:sz w:val="22"/>
          <w:szCs w:val="22"/>
        </w:rPr>
        <w:t> 8 t</w:t>
      </w:r>
      <w:r>
        <w:rPr>
          <w:rFonts w:asciiTheme="minorHAnsi" w:hAnsiTheme="minorHAnsi" w:cs="Arial"/>
          <w:sz w:val="22"/>
          <w:szCs w:val="22"/>
        </w:rPr>
        <w:t>is. Eur</w:t>
      </w:r>
      <w:r w:rsidRPr="00E915D4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915D4">
        <w:rPr>
          <w:rFonts w:asciiTheme="minorHAnsi" w:hAnsiTheme="minorHAnsi" w:cs="Arial"/>
          <w:sz w:val="22"/>
          <w:szCs w:val="22"/>
        </w:rPr>
        <w:t>Vzhľa</w:t>
      </w:r>
      <w:r>
        <w:rPr>
          <w:rFonts w:asciiTheme="minorHAnsi" w:hAnsiTheme="minorHAnsi" w:cs="Arial"/>
          <w:sz w:val="22"/>
          <w:szCs w:val="22"/>
        </w:rPr>
        <w:t xml:space="preserve">dom na obrat fakulty je strata </w:t>
      </w:r>
      <w:r w:rsidRPr="00E915D4">
        <w:rPr>
          <w:rFonts w:asciiTheme="minorHAnsi" w:hAnsiTheme="minorHAnsi" w:cs="Arial"/>
          <w:sz w:val="22"/>
          <w:szCs w:val="22"/>
        </w:rPr>
        <w:t xml:space="preserve">vo výške </w:t>
      </w:r>
      <w:r>
        <w:rPr>
          <w:rFonts w:asciiTheme="minorHAnsi" w:hAnsiTheme="minorHAnsi" w:cs="Arial"/>
          <w:sz w:val="22"/>
          <w:szCs w:val="22"/>
        </w:rPr>
        <w:t>16</w:t>
      </w:r>
      <w:r w:rsidRPr="00A249CB">
        <w:rPr>
          <w:rFonts w:asciiTheme="minorHAnsi" w:hAnsiTheme="minorHAnsi" w:cs="Arial"/>
          <w:color w:val="000000" w:themeColor="text1"/>
          <w:sz w:val="22"/>
          <w:szCs w:val="22"/>
        </w:rPr>
        <w:t xml:space="preserve"> tis.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Eur</w:t>
      </w:r>
      <w:r w:rsidRPr="00E915D4">
        <w:rPr>
          <w:rFonts w:asciiTheme="minorHAnsi" w:hAnsiTheme="minorHAnsi" w:cs="Arial"/>
          <w:sz w:val="22"/>
          <w:szCs w:val="22"/>
        </w:rPr>
        <w:t xml:space="preserve"> nepatrná. </w:t>
      </w:r>
      <w:r>
        <w:rPr>
          <w:rFonts w:asciiTheme="minorHAnsi" w:hAnsiTheme="minorHAnsi" w:cs="Arial"/>
          <w:sz w:val="22"/>
          <w:szCs w:val="22"/>
        </w:rPr>
        <w:t>PF zaznamenala nárast miezd a odvodov o</w:t>
      </w:r>
      <w:r w:rsidR="00DB3E2F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38</w:t>
      </w:r>
      <w:r w:rsidR="00DB3E2F">
        <w:rPr>
          <w:rFonts w:asciiTheme="minorHAnsi" w:hAnsiTheme="minorHAnsi" w:cs="Arial"/>
          <w:sz w:val="22"/>
          <w:szCs w:val="22"/>
        </w:rPr>
        <w:t>,6</w:t>
      </w:r>
      <w:r>
        <w:rPr>
          <w:rFonts w:asciiTheme="minorHAnsi" w:hAnsiTheme="minorHAnsi" w:cs="Arial"/>
          <w:sz w:val="22"/>
          <w:szCs w:val="22"/>
        </w:rPr>
        <w:t xml:space="preserve"> tis. Eur. Vzhľadom na obrat fakulty je strata vo výške 29 tis. Eur nepatrná.</w:t>
      </w:r>
      <w:r w:rsidRPr="00E915D4">
        <w:rPr>
          <w:rFonts w:asciiTheme="minorHAnsi" w:hAnsiTheme="minorHAnsi" w:cs="Arial"/>
          <w:sz w:val="22"/>
          <w:szCs w:val="22"/>
        </w:rPr>
        <w:t xml:space="preserve"> Už niekoľko rokov po sebe vykazuje stratu ŠJ, a to hlavne z dôvodu </w:t>
      </w:r>
      <w:r>
        <w:rPr>
          <w:rFonts w:asciiTheme="minorHAnsi" w:hAnsiTheme="minorHAnsi" w:cs="Arial"/>
          <w:sz w:val="22"/>
          <w:szCs w:val="22"/>
        </w:rPr>
        <w:t xml:space="preserve">znižovania počtu </w:t>
      </w:r>
      <w:r w:rsidRPr="00E915D4">
        <w:rPr>
          <w:rFonts w:asciiTheme="minorHAnsi" w:hAnsiTheme="minorHAnsi" w:cs="Arial"/>
          <w:sz w:val="22"/>
          <w:szCs w:val="22"/>
        </w:rPr>
        <w:t xml:space="preserve">stravníkov. </w:t>
      </w:r>
    </w:p>
    <w:p w:rsidR="00FD5845" w:rsidRPr="00E915D4" w:rsidRDefault="00FD5845" w:rsidP="00FD5845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E915D4">
        <w:rPr>
          <w:rFonts w:asciiTheme="minorHAnsi" w:hAnsiTheme="minorHAnsi" w:cs="Arial"/>
          <w:sz w:val="22"/>
          <w:szCs w:val="22"/>
        </w:rPr>
        <w:t xml:space="preserve">Univerzita ako celok vykazovala po minulé roky  </w:t>
      </w:r>
      <w:r>
        <w:rPr>
          <w:rFonts w:asciiTheme="minorHAnsi" w:hAnsiTheme="minorHAnsi" w:cs="Arial"/>
          <w:sz w:val="22"/>
          <w:szCs w:val="22"/>
        </w:rPr>
        <w:t xml:space="preserve">väčšinou </w:t>
      </w:r>
      <w:r w:rsidRPr="00E915D4">
        <w:rPr>
          <w:rFonts w:asciiTheme="minorHAnsi" w:hAnsiTheme="minorHAnsi" w:cs="Arial"/>
          <w:sz w:val="22"/>
          <w:szCs w:val="22"/>
        </w:rPr>
        <w:t xml:space="preserve">kladný hospodársky výsledok, </w:t>
      </w:r>
      <w:r>
        <w:rPr>
          <w:rFonts w:asciiTheme="minorHAnsi" w:hAnsiTheme="minorHAnsi" w:cs="Arial"/>
          <w:sz w:val="22"/>
          <w:szCs w:val="22"/>
        </w:rPr>
        <w:t>rok 2018</w:t>
      </w:r>
      <w:r w:rsidRPr="00E915D4">
        <w:rPr>
          <w:rFonts w:asciiTheme="minorHAnsi" w:hAnsiTheme="minorHAnsi" w:cs="Arial"/>
          <w:sz w:val="22"/>
          <w:szCs w:val="22"/>
        </w:rPr>
        <w:t xml:space="preserve"> bol z tohto hľadiska úspešný a univerzita vykázala  priaznivý hospodársky výsledok. </w:t>
      </w:r>
    </w:p>
    <w:p w:rsidR="00FD5845" w:rsidRPr="00B2442C" w:rsidRDefault="00FD5845" w:rsidP="00FD5845">
      <w:pPr>
        <w:shd w:val="clear" w:color="auto" w:fill="FFFFFF" w:themeFill="background1"/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865564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FD5845" w:rsidRDefault="00FD5845" w:rsidP="00FD5845">
      <w:pPr>
        <w:jc w:val="both"/>
        <w:rPr>
          <w:rFonts w:ascii="Arial" w:hAnsi="Arial" w:cs="Arial"/>
          <w:i/>
          <w:color w:val="000000" w:themeColor="text1"/>
        </w:rPr>
      </w:pPr>
    </w:p>
    <w:p w:rsidR="00995F86" w:rsidRDefault="00995F86" w:rsidP="00FD5845">
      <w:pPr>
        <w:jc w:val="both"/>
        <w:rPr>
          <w:rFonts w:ascii="Arial" w:hAnsi="Arial" w:cs="Arial"/>
          <w:i/>
          <w:color w:val="000000" w:themeColor="text1"/>
        </w:rPr>
      </w:pPr>
    </w:p>
    <w:p w:rsidR="00FD5845" w:rsidRPr="00B2442C" w:rsidRDefault="00FD5845" w:rsidP="00FD5845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3.4.2   </w:t>
      </w:r>
      <w:r w:rsidR="00AF6898">
        <w:rPr>
          <w:rFonts w:asciiTheme="minorHAnsi" w:hAnsiTheme="minorHAnsi" w:cs="Arial"/>
          <w:i/>
          <w:color w:val="000000" w:themeColor="text1"/>
          <w:sz w:val="22"/>
          <w:szCs w:val="22"/>
        </w:rPr>
        <w:t>Podnikateľská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činnosť</w:t>
      </w:r>
    </w:p>
    <w:p w:rsidR="00FD5845" w:rsidRPr="007E3286" w:rsidRDefault="00FD5845" w:rsidP="00FD5845">
      <w:pPr>
        <w:jc w:val="both"/>
        <w:rPr>
          <w:rFonts w:ascii="Arial" w:hAnsi="Arial" w:cs="Arial"/>
          <w:i/>
          <w:color w:val="000000" w:themeColor="text1"/>
        </w:rPr>
      </w:pPr>
    </w:p>
    <w:p w:rsidR="00FD5845" w:rsidRPr="00DB5E63" w:rsidRDefault="00FD5845" w:rsidP="00FD5845">
      <w:pPr>
        <w:spacing w:line="276" w:lineRule="auto"/>
        <w:ind w:firstLine="567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 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dosiahla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Trnavská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univerzita zisk z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vo výške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24 196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Na tomto výsledku sa podieľali súčasti univerzity organizovaním domácich a medzinárodných konferencií, vzdelávacích kurzov, kurzov prípravy na prijímacie skúšky, výučbou jazykov, výberom nájomného za nebytové priestory, predajom odbornej literatúry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 archeologický výskum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a pod. V porovnaní s predchádzajúcim obdobím univerzita dosiahla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nižší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zisk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2 33</w:t>
      </w:r>
      <w:r w:rsidR="001E729E">
        <w:rPr>
          <w:rFonts w:asciiTheme="minorHAnsi" w:hAnsiTheme="minorHAnsi" w:cs="Arial"/>
          <w:color w:val="000000" w:themeColor="text1"/>
          <w:sz w:val="22"/>
          <w:szCs w:val="22"/>
        </w:rPr>
        <w:t>5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predstavuje 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níženie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zisku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proti predchádzajúcemu obdobiu o</w:t>
      </w:r>
      <w:r w:rsidR="001E729E">
        <w:rPr>
          <w:rFonts w:asciiTheme="minorHAnsi" w:hAnsiTheme="minorHAnsi" w:cs="Arial"/>
          <w:color w:val="000000" w:themeColor="text1"/>
          <w:sz w:val="22"/>
          <w:szCs w:val="22"/>
        </w:rPr>
        <w:t> 8,8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%. Na tomto z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nížení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sa podieľali rovnomerne  vyššie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náklady aj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vyššie </w:t>
      </w:r>
      <w:r w:rsidRPr="00DB5E63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výnosy zo zdaňovaných činností. </w:t>
      </w:r>
    </w:p>
    <w:p w:rsidR="00FD5845" w:rsidRDefault="00FD5845" w:rsidP="00FD5845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95F86" w:rsidRDefault="00995F86" w:rsidP="00FD5845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95F86" w:rsidRDefault="00995F86" w:rsidP="00FD5845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95F86" w:rsidRPr="001B5B1E" w:rsidRDefault="00995F86" w:rsidP="00FD5845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595B" w:rsidRPr="001B5B1E" w:rsidRDefault="0013595B" w:rsidP="0013595B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B6D41" w:rsidRPr="00B2442C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lastRenderedPageBreak/>
        <w:t xml:space="preserve">4. </w:t>
      </w:r>
      <w:r w:rsidR="003377AE"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t xml:space="preserve"> </w:t>
      </w:r>
      <w:r w:rsidR="00D21F98"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t>ANALÝZA  VÝNOSOV  A  NÁKLADOV</w:t>
      </w:r>
    </w:p>
    <w:p w:rsidR="00A7589F" w:rsidRDefault="00A7589F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9E47F3" w:rsidRPr="00B2442C" w:rsidRDefault="009E47F3" w:rsidP="009E47F3">
      <w:pPr>
        <w:jc w:val="both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B2442C">
        <w:rPr>
          <w:rFonts w:asciiTheme="minorHAnsi" w:hAnsiTheme="minorHAnsi" w:cs="Arial"/>
          <w:b/>
          <w:color w:val="000000" w:themeColor="text1"/>
          <w:sz w:val="24"/>
          <w:szCs w:val="24"/>
        </w:rPr>
        <w:t>4.1 Analýza výnosov</w:t>
      </w:r>
    </w:p>
    <w:p w:rsidR="009E47F3" w:rsidRPr="001B5B1E" w:rsidRDefault="009E47F3" w:rsidP="009E47F3">
      <w:pPr>
        <w:spacing w:line="276" w:lineRule="auto"/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E47F3" w:rsidRPr="00B2442C" w:rsidRDefault="009E47F3" w:rsidP="009E47F3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4.1.1 Analýza výnosov z </w:t>
      </w:r>
      <w:r w:rsidR="002F68B4">
        <w:rPr>
          <w:rFonts w:asciiTheme="minorHAnsi" w:hAnsiTheme="minorHAnsi" w:cs="Arial"/>
          <w:i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činnosti</w:t>
      </w:r>
    </w:p>
    <w:p w:rsidR="009E47F3" w:rsidRPr="007E3286" w:rsidRDefault="009E47F3" w:rsidP="009E47F3">
      <w:pPr>
        <w:jc w:val="both"/>
        <w:rPr>
          <w:rFonts w:ascii="Arial" w:hAnsi="Arial" w:cs="Arial"/>
          <w:i/>
          <w:color w:val="000000" w:themeColor="text1"/>
        </w:rPr>
      </w:pPr>
    </w:p>
    <w:p w:rsidR="009E47F3" w:rsidRPr="00B2442C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Základným a najväčším zdrojom príjmov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v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:rsidR="009E47F3" w:rsidRPr="009D49DF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Výnosy univerzity z 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celkom dosiahli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16 496 80</w:t>
      </w:r>
      <w:r w:rsidR="00FC6FE5">
        <w:rPr>
          <w:rFonts w:asciiTheme="minorHAnsi" w:hAnsiTheme="minorHAnsi" w:cs="Arial"/>
          <w:color w:val="000000" w:themeColor="text1"/>
          <w:sz w:val="22"/>
          <w:szCs w:val="22"/>
        </w:rPr>
        <w:t>6</w:t>
      </w:r>
      <w:r w:rsidRPr="00631B62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 xml:space="preserve">Eur, čo predstavuje </w:t>
      </w:r>
      <w:r>
        <w:rPr>
          <w:rFonts w:asciiTheme="minorHAnsi" w:hAnsiTheme="minorHAnsi" w:cs="Arial"/>
          <w:sz w:val="22"/>
          <w:szCs w:val="22"/>
        </w:rPr>
        <w:t xml:space="preserve">zvýšenie o 705 313 </w:t>
      </w:r>
      <w:r w:rsidRPr="009D49DF">
        <w:rPr>
          <w:rFonts w:asciiTheme="minorHAnsi" w:hAnsiTheme="minorHAnsi" w:cs="Arial"/>
          <w:sz w:val="22"/>
          <w:szCs w:val="22"/>
        </w:rPr>
        <w:t xml:space="preserve">Eur v porovnaní s rokom </w:t>
      </w:r>
      <w:r>
        <w:rPr>
          <w:rFonts w:asciiTheme="minorHAnsi" w:hAnsiTheme="minorHAnsi" w:cs="Arial"/>
          <w:sz w:val="22"/>
          <w:szCs w:val="22"/>
        </w:rPr>
        <w:t>2017.</w:t>
      </w:r>
      <w:r w:rsidRPr="009D49DF">
        <w:rPr>
          <w:rFonts w:asciiTheme="minorHAnsi" w:hAnsiTheme="minorHAnsi" w:cs="Arial"/>
          <w:sz w:val="22"/>
          <w:szCs w:val="22"/>
        </w:rPr>
        <w:t xml:space="preserve">  </w:t>
      </w:r>
    </w:p>
    <w:p w:rsidR="009E47F3" w:rsidRPr="009D49DF" w:rsidRDefault="009E47F3" w:rsidP="009E47F3">
      <w:pPr>
        <w:spacing w:line="276" w:lineRule="auto"/>
        <w:ind w:firstLine="426"/>
        <w:rPr>
          <w:rFonts w:asciiTheme="minorHAnsi" w:hAnsiTheme="minorHAnsi" w:cs="Arial"/>
          <w:sz w:val="22"/>
          <w:szCs w:val="22"/>
        </w:rPr>
      </w:pPr>
    </w:p>
    <w:p w:rsidR="009E47F3" w:rsidRPr="006C42B3" w:rsidRDefault="009E47F3" w:rsidP="009E47F3">
      <w:pPr>
        <w:spacing w:line="276" w:lineRule="auto"/>
        <w:ind w:firstLine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 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 xml:space="preserve">  činnosti univerzity podľa druhov v Eur:</w:t>
      </w:r>
    </w:p>
    <w:p w:rsidR="009E47F3" w:rsidRPr="006C42B3" w:rsidRDefault="009E47F3" w:rsidP="009E47F3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prevádzkové dotácie zo štátneho rozpočtu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>13 491 619</w:t>
      </w:r>
    </w:p>
    <w:p w:rsidR="009E47F3" w:rsidRPr="006C42B3" w:rsidRDefault="009E47F3" w:rsidP="009E47F3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výnosy zo školného a z poplatkov spojených so štúdiom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1 474 316</w:t>
      </w:r>
    </w:p>
    <w:p w:rsidR="009E47F3" w:rsidRDefault="009E47F3" w:rsidP="009E47F3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>výnosy z použitia fondov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100 658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</w:p>
    <w:p w:rsidR="009E47F3" w:rsidRPr="000747CF" w:rsidRDefault="009E47F3" w:rsidP="009E47F3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>výnosy z odpisov z kapitálových  dotácií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1 0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42</w:t>
      </w:r>
      <w:r w:rsidRPr="000747C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107</w:t>
      </w:r>
    </w:p>
    <w:p w:rsidR="009E47F3" w:rsidRPr="006C42B3" w:rsidRDefault="009E47F3" w:rsidP="009E47F3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ŠJ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140 386</w:t>
      </w:r>
    </w:p>
    <w:p w:rsidR="009E47F3" w:rsidRPr="006C42B3" w:rsidRDefault="009E47F3" w:rsidP="009E47F3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vlastné výnosy ŠD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221 887</w:t>
      </w:r>
    </w:p>
    <w:p w:rsidR="009E47F3" w:rsidRPr="006C42B3" w:rsidRDefault="009E47F3" w:rsidP="009E47F3">
      <w:pPr>
        <w:numPr>
          <w:ilvl w:val="0"/>
          <w:numId w:val="8"/>
        </w:numPr>
        <w:spacing w:line="276" w:lineRule="auto"/>
        <w:ind w:left="426" w:hanging="426"/>
        <w:rPr>
          <w:rFonts w:asciiTheme="minorHAnsi" w:hAnsiTheme="minorHAnsi" w:cs="Arial"/>
          <w:color w:val="000000" w:themeColor="text1"/>
          <w:sz w:val="22"/>
          <w:szCs w:val="22"/>
          <w:rtl/>
        </w:rPr>
      </w:pP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>ostatné</w:t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6C42B3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25 833</w:t>
      </w:r>
    </w:p>
    <w:p w:rsidR="009E47F3" w:rsidRPr="00B2442C" w:rsidRDefault="009E47F3" w:rsidP="009E47F3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ab/>
      </w:r>
    </w:p>
    <w:p w:rsidR="009E47F3" w:rsidRPr="00B2442C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  Výnosy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Trnavskej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univerzity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8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z 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 </w:t>
      </w:r>
      <w:r w:rsidR="004C4E32">
        <w:rPr>
          <w:rFonts w:asciiTheme="minorHAnsi" w:hAnsiTheme="minorHAnsi" w:cs="Arial"/>
          <w:color w:val="000000" w:themeColor="text1"/>
          <w:sz w:val="22"/>
          <w:szCs w:val="22"/>
        </w:rPr>
        <w:t>boli tvorené z 8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10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</w:t>
      </w:r>
      <w:r w:rsidR="004C4E32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výnosmi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z dotácie a 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9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% </w:t>
      </w:r>
      <w:r w:rsidR="004C4E32">
        <w:rPr>
          <w:rFonts w:asciiTheme="minorHAnsi" w:hAnsiTheme="minorHAnsi" w:cs="Arial"/>
          <w:color w:val="000000" w:themeColor="text1"/>
          <w:sz w:val="22"/>
          <w:szCs w:val="22"/>
        </w:rPr>
        <w:t xml:space="preserve">výnosmi 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z iných zdrojov. </w:t>
      </w:r>
    </w:p>
    <w:p w:rsidR="009E47F3" w:rsidRPr="007E3286" w:rsidRDefault="009E47F3" w:rsidP="009E47F3">
      <w:pPr>
        <w:jc w:val="both"/>
        <w:rPr>
          <w:rFonts w:ascii="Arial" w:hAnsi="Arial" w:cs="Arial"/>
          <w:color w:val="000000" w:themeColor="text1"/>
        </w:rPr>
      </w:pPr>
    </w:p>
    <w:p w:rsidR="009E47F3" w:rsidRPr="007E3286" w:rsidRDefault="009E47F3" w:rsidP="009E47F3">
      <w:pPr>
        <w:rPr>
          <w:rFonts w:ascii="Arial" w:hAnsi="Arial" w:cs="Arial"/>
          <w:i/>
          <w:color w:val="000000" w:themeColor="text1"/>
        </w:rPr>
      </w:pPr>
    </w:p>
    <w:p w:rsidR="009E47F3" w:rsidRPr="00B2442C" w:rsidRDefault="009E47F3" w:rsidP="009E47F3">
      <w:pPr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>4.1.2  Analýza výnosov z</w:t>
      </w:r>
      <w:r w:rsidR="002F68B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podnikateľskej</w:t>
      </w:r>
      <w:r w:rsidRPr="00B2442C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</w:t>
      </w:r>
    </w:p>
    <w:p w:rsidR="009E47F3" w:rsidRPr="007E3286" w:rsidRDefault="009E47F3" w:rsidP="009E47F3">
      <w:pPr>
        <w:rPr>
          <w:rFonts w:ascii="Arial" w:hAnsi="Arial" w:cs="Arial"/>
          <w:i/>
          <w:color w:val="000000" w:themeColor="text1"/>
        </w:rPr>
      </w:pPr>
    </w:p>
    <w:p w:rsidR="009E47F3" w:rsidRPr="009D49DF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sz w:val="22"/>
          <w:szCs w:val="22"/>
        </w:rPr>
      </w:pP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Hlavným zdrojom príjmov z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ŠJ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>, ubyt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ovanie osôb v ŠD, archeologický výskum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a iné. Podiel výnosov z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Pr="00B2442C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predstavoval 1,3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D49DF">
        <w:rPr>
          <w:rFonts w:asciiTheme="minorHAnsi" w:hAnsiTheme="minorHAnsi" w:cs="Arial"/>
          <w:sz w:val="22"/>
          <w:szCs w:val="22"/>
        </w:rPr>
        <w:t>% z celkových výnosov univerzity.</w:t>
      </w:r>
    </w:p>
    <w:p w:rsidR="009E47F3" w:rsidRPr="00BE2571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>Výnosy univerzity z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celkom predstavovali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231 556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V porovnaní s rokom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univerzita dosiahla výnosy vyššie  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20 261</w:t>
      </w:r>
      <w:r w:rsidRPr="00BE2571">
        <w:rPr>
          <w:rFonts w:asciiTheme="minorHAnsi" w:hAnsiTheme="minorHAnsi" w:cs="Arial"/>
          <w:color w:val="000000" w:themeColor="text1"/>
          <w:sz w:val="22"/>
          <w:szCs w:val="22"/>
        </w:rPr>
        <w:t xml:space="preserve"> Eur. Na tomto zvýšení má zásluhu hlavne ubytovanie osôb v</w:t>
      </w:r>
      <w:r w:rsidR="006C3BA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ŠD</w:t>
      </w:r>
      <w:r w:rsidR="006C3BA6">
        <w:rPr>
          <w:rFonts w:asciiTheme="minorHAnsi" w:hAnsiTheme="minorHAnsi" w:cs="Arial"/>
          <w:color w:val="000000" w:themeColor="text1"/>
          <w:sz w:val="22"/>
          <w:szCs w:val="22"/>
        </w:rPr>
        <w:t xml:space="preserve"> 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archeologický výskum na FF .</w:t>
      </w:r>
    </w:p>
    <w:p w:rsidR="009E47F3" w:rsidRPr="00B2442C" w:rsidRDefault="009E47F3" w:rsidP="009E47F3">
      <w:pPr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E47F3" w:rsidRPr="004043ED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Výnosy z</w:t>
      </w:r>
      <w:r w:rsidR="002F68B4">
        <w:rPr>
          <w:rFonts w:asciiTheme="minorHAnsi" w:hAnsiTheme="minorHAnsi" w:cs="Arial"/>
          <w:color w:val="000000" w:themeColor="text1"/>
          <w:sz w:val="22"/>
          <w:szCs w:val="22"/>
        </w:rPr>
        <w:t xml:space="preserve"> podnikateľskej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univerzity podľa druhov v Eur:</w:t>
      </w:r>
    </w:p>
    <w:p w:rsidR="009E47F3" w:rsidRPr="004043ED" w:rsidRDefault="009E47F3" w:rsidP="009E47F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ubytovanie cudzích osôb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  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37 767</w:t>
      </w:r>
    </w:p>
    <w:p w:rsidR="009E47F3" w:rsidRPr="004043ED" w:rsidRDefault="009E47F3" w:rsidP="009E47F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organizovanie  seminárov, konferencií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   </w:t>
      </w:r>
      <w:r>
        <w:rPr>
          <w:rFonts w:ascii="Arial" w:hAnsi="Arial" w:cs="Arial"/>
          <w:color w:val="000000" w:themeColor="text1"/>
        </w:rPr>
        <w:t>13 369</w:t>
      </w:r>
    </w:p>
    <w:p w:rsidR="009E47F3" w:rsidRPr="004043ED" w:rsidRDefault="009E47F3" w:rsidP="009E47F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organizovanie vzdelávacích kurzov 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</w:t>
      </w:r>
      <w:r w:rsidRPr="004043ED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</w:t>
      </w:r>
      <w:r w:rsidRPr="004043ED">
        <w:rPr>
          <w:rFonts w:ascii="Arial" w:hAnsi="Arial" w:cs="Arial"/>
          <w:color w:val="000000" w:themeColor="text1"/>
        </w:rPr>
        <w:t xml:space="preserve">  </w:t>
      </w:r>
      <w:r w:rsidRPr="00AB0A3B">
        <w:rPr>
          <w:rFonts w:ascii="Arial" w:hAnsi="Arial" w:cs="Arial"/>
        </w:rPr>
        <w:t>7 725</w:t>
      </w:r>
    </w:p>
    <w:p w:rsidR="009E47F3" w:rsidRPr="004043ED" w:rsidRDefault="009E47F3" w:rsidP="009E47F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prenájom nebytových priestorov  a reklama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30 431</w:t>
      </w:r>
    </w:p>
    <w:p w:rsidR="009E47F3" w:rsidRPr="004043ED" w:rsidRDefault="009E47F3" w:rsidP="009E47F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výkony ŠJ pre cudzie subjekty                          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="Arial" w:hAnsi="Arial" w:cs="Arial"/>
          <w:color w:val="000000" w:themeColor="text1"/>
        </w:rPr>
        <w:t>      </w:t>
      </w:r>
      <w:r w:rsidRPr="00AB0A3B">
        <w:rPr>
          <w:rFonts w:ascii="Arial" w:hAnsi="Arial" w:cs="Arial"/>
        </w:rPr>
        <w:t>34 756</w:t>
      </w:r>
    </w:p>
    <w:p w:rsidR="009E47F3" w:rsidRPr="004043ED" w:rsidRDefault="009E47F3" w:rsidP="009E47F3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predaj odbornej literatúry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     </w:t>
      </w:r>
      <w:r>
        <w:rPr>
          <w:rFonts w:ascii="Arial" w:hAnsi="Arial" w:cs="Arial"/>
          <w:color w:val="000000" w:themeColor="text1"/>
        </w:rPr>
        <w:t>9 184</w:t>
      </w:r>
      <w:r w:rsidRPr="004043ED">
        <w:rPr>
          <w:rFonts w:ascii="Arial" w:hAnsi="Arial" w:cs="Arial"/>
          <w:color w:val="000000" w:themeColor="text1"/>
        </w:rPr>
        <w:t xml:space="preserve"> </w:t>
      </w:r>
    </w:p>
    <w:p w:rsidR="009E47F3" w:rsidRDefault="009E47F3" w:rsidP="009E47F3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>predaj majetku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         0</w:t>
      </w:r>
      <w:r w:rsidRPr="004043E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9E47F3" w:rsidRPr="00700880" w:rsidRDefault="009E47F3" w:rsidP="009E47F3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 xml:space="preserve"> archeologický výskum</w:t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  <w:t xml:space="preserve">  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53 792</w:t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</w:p>
    <w:p w:rsidR="009E47F3" w:rsidRPr="00D6516F" w:rsidRDefault="009E47F3" w:rsidP="009E47F3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      </w:t>
      </w:r>
      <w:r w:rsidR="004C4E32">
        <w:rPr>
          <w:rFonts w:ascii="Arial" w:hAnsi="Arial" w:cs="Arial"/>
          <w:color w:val="000000" w:themeColor="text1"/>
        </w:rPr>
        <w:t>p</w:t>
      </w:r>
      <w:r>
        <w:rPr>
          <w:rFonts w:ascii="Arial" w:hAnsi="Arial" w:cs="Arial"/>
          <w:color w:val="000000" w:themeColor="text1"/>
        </w:rPr>
        <w:t>rípravné atestačné kurzy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         </w:t>
      </w:r>
      <w:r>
        <w:rPr>
          <w:rFonts w:ascii="Arial" w:hAnsi="Arial" w:cs="Arial"/>
          <w:color w:val="000000" w:themeColor="text1"/>
        </w:rPr>
        <w:tab/>
        <w:t xml:space="preserve">        6 120</w:t>
      </w:r>
    </w:p>
    <w:p w:rsidR="009E47F3" w:rsidRPr="00D6516F" w:rsidRDefault="009E47F3" w:rsidP="009E47F3">
      <w:pPr>
        <w:numPr>
          <w:ilvl w:val="0"/>
          <w:numId w:val="7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ostatné</w:t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ab/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  38 412</w:t>
      </w:r>
      <w:r w:rsidRPr="00D6516F">
        <w:rPr>
          <w:rFonts w:asciiTheme="minorHAnsi" w:hAnsiTheme="minorHAnsi" w:cs="Arial"/>
          <w:color w:val="000000" w:themeColor="text1"/>
          <w:sz w:val="22"/>
          <w:szCs w:val="22"/>
        </w:rPr>
        <w:t xml:space="preserve">      </w:t>
      </w:r>
    </w:p>
    <w:p w:rsidR="009E47F3" w:rsidRDefault="009E47F3" w:rsidP="009E47F3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995F86" w:rsidRPr="00D6516F" w:rsidRDefault="00995F86" w:rsidP="009E47F3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="Arial" w:hAnsi="Arial" w:cs="Arial"/>
          <w:b/>
          <w:color w:val="000000" w:themeColor="text1"/>
        </w:rPr>
      </w:pPr>
    </w:p>
    <w:p w:rsidR="009E47F3" w:rsidRPr="009613BA" w:rsidRDefault="009E47F3" w:rsidP="009E47F3">
      <w:pPr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b/>
          <w:color w:val="000000" w:themeColor="text1"/>
          <w:sz w:val="22"/>
          <w:szCs w:val="22"/>
        </w:rPr>
        <w:t>4.2 Analýza nákladov</w:t>
      </w:r>
    </w:p>
    <w:p w:rsidR="009E47F3" w:rsidRDefault="009E47F3" w:rsidP="009E47F3">
      <w:pPr>
        <w:jc w:val="both"/>
        <w:rPr>
          <w:rFonts w:ascii="Arial" w:hAnsi="Arial" w:cs="Arial"/>
          <w:b/>
          <w:color w:val="000000" w:themeColor="text1"/>
        </w:rPr>
      </w:pPr>
    </w:p>
    <w:p w:rsidR="009E47F3" w:rsidRPr="009613BA" w:rsidRDefault="009E47F3" w:rsidP="009E47F3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>4.2.1 Analýza nákladov z </w:t>
      </w:r>
      <w:r w:rsidR="002F68B4">
        <w:rPr>
          <w:rFonts w:asciiTheme="minorHAnsi" w:hAnsiTheme="minorHAnsi" w:cs="Arial"/>
          <w:i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činnosti</w:t>
      </w:r>
    </w:p>
    <w:p w:rsidR="009E47F3" w:rsidRPr="007E3286" w:rsidRDefault="009E47F3" w:rsidP="009E47F3">
      <w:pPr>
        <w:jc w:val="both"/>
        <w:rPr>
          <w:rFonts w:ascii="Arial" w:hAnsi="Arial" w:cs="Arial"/>
          <w:i/>
          <w:color w:val="000000" w:themeColor="text1"/>
        </w:rPr>
      </w:pPr>
    </w:p>
    <w:p w:rsidR="009E47F3" w:rsidRPr="009613BA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B6B06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nákladov v </w:t>
      </w:r>
      <w:r w:rsidR="00682B8D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vyplýva, že celkové náklady v tejto činnosti boli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vyššie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 887 441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 oproti predchádzajúcemu roku. Náklady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univerzity v </w:t>
      </w:r>
      <w:r w:rsidR="00682B8D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 celkom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</w:t>
      </w:r>
      <w:r w:rsidRPr="00D12C47">
        <w:rPr>
          <w:rFonts w:asciiTheme="minorHAnsi" w:hAnsiTheme="minorHAnsi" w:cs="Arial"/>
          <w:sz w:val="22"/>
          <w:szCs w:val="22"/>
        </w:rPr>
        <w:t xml:space="preserve">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16 441 761</w:t>
      </w:r>
      <w:r w:rsidRPr="0031480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D12C47">
        <w:rPr>
          <w:rFonts w:asciiTheme="minorHAnsi" w:hAnsiTheme="minorHAnsi" w:cs="Arial"/>
          <w:sz w:val="22"/>
          <w:szCs w:val="22"/>
        </w:rPr>
        <w:t>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9E47F3" w:rsidRPr="009613BA" w:rsidRDefault="009E47F3" w:rsidP="009E47F3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Väčšia časť nákladov univerzity vykázala porovnat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eľné alebo mierne vyššie  hodnoty ako v</w:t>
      </w:r>
      <w:r w:rsidRPr="007E3286">
        <w:rPr>
          <w:rFonts w:ascii="Arial" w:hAnsi="Arial" w:cs="Arial"/>
          <w:color w:val="000000" w:themeColor="text1"/>
        </w:rPr>
        <w:t> 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predchádzajúcom roku. Väčš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ie zvýšenie  nákladov bolo zaznamenané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pri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nákladoch na cestovné o 158 tis.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, pri spotrebe materiálu o 85 tis. Eur, pri spotrebe energií o 28 tis. Eur, pri mzdových nákladoch a odvodoch o 486 tis. Eur.</w:t>
      </w:r>
    </w:p>
    <w:p w:rsidR="009E47F3" w:rsidRPr="009613BA" w:rsidRDefault="009E47F3" w:rsidP="009E47F3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V  roku 20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18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univerzita dosiahla v </w:t>
      </w:r>
      <w:r w:rsidR="00B543EC">
        <w:rPr>
          <w:rFonts w:asciiTheme="minorHAnsi" w:hAnsiTheme="minorHAnsi" w:cs="Arial"/>
          <w:color w:val="000000" w:themeColor="text1"/>
          <w:sz w:val="22"/>
          <w:szCs w:val="22"/>
        </w:rPr>
        <w:t>hlavnej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celkové náklady za prenájom priestorov a zariadení v objeme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16</w:t>
      </w:r>
      <w:r w:rsidR="00C44F71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0 984</w:t>
      </w:r>
      <w:r w:rsidRPr="0040118C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Eur. Z tohto objemu predstavuje nájomné za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priestory pre potreby  Teologickej fakulty čiastku 37 644</w:t>
      </w:r>
      <w:r w:rsidRPr="00A263A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Eur,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ubytovanie študentov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v zmluvných zariadeniach 14</w:t>
      </w:r>
      <w:r w:rsidR="00B23CB4" w:rsidRPr="009613BA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882 Eur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ostatné položky tvoria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prenájom priestorov na športové aktivity študentov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a tiež prenájom priestorov z dôvodu promócií a pod.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Celkový podiel nákladov na prenájme priestorov predstavuje </w:t>
      </w: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 w:themeFill="background1"/>
        </w:rPr>
        <w:t>1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% z celkových nákladov </w:t>
      </w:r>
      <w:r w:rsidR="00682B8D">
        <w:rPr>
          <w:rFonts w:asciiTheme="minorHAnsi" w:hAnsiTheme="minorHAnsi" w:cs="Arial"/>
          <w:color w:val="000000" w:themeColor="text1"/>
          <w:sz w:val="22"/>
          <w:szCs w:val="22"/>
        </w:rPr>
        <w:t xml:space="preserve">hlavnej 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činnosti, 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čo predstavuje porovnateľný  podiel nákladov na prenájme oproti 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A2071F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9E47F3" w:rsidRDefault="009E47F3" w:rsidP="009E47F3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95F86" w:rsidRDefault="00995F86" w:rsidP="009E47F3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</w:p>
    <w:p w:rsidR="009E47F3" w:rsidRPr="009613BA" w:rsidRDefault="009E47F3" w:rsidP="009E47F3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>4.2.2 Analýza nákladov z</w:t>
      </w:r>
      <w:r w:rsidR="002F68B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podnikateľskej</w:t>
      </w:r>
      <w:r w:rsidRPr="009613BA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činnosti </w:t>
      </w:r>
    </w:p>
    <w:p w:rsidR="009E47F3" w:rsidRPr="007E3286" w:rsidRDefault="009E47F3" w:rsidP="009E47F3">
      <w:pPr>
        <w:jc w:val="both"/>
        <w:rPr>
          <w:rFonts w:ascii="Arial" w:hAnsi="Arial" w:cs="Arial"/>
          <w:i/>
          <w:color w:val="000000" w:themeColor="text1"/>
        </w:rPr>
      </w:pPr>
    </w:p>
    <w:p w:rsidR="008E5A5C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Náklady univerzity v </w:t>
      </w:r>
      <w:r w:rsidR="00682B8D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v roku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predstavovali sumu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199 521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Eur, čo v  porovnaní  s rokom  20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17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 predstavuje  zvýšenie  celkových nákladov  v  </w:t>
      </w:r>
      <w:r w:rsidR="00682B8D">
        <w:rPr>
          <w:rFonts w:asciiTheme="minorHAnsi" w:hAnsiTheme="minorHAnsi" w:cs="Arial"/>
          <w:color w:val="000000" w:themeColor="text1"/>
          <w:sz w:val="22"/>
          <w:szCs w:val="22"/>
        </w:rPr>
        <w:t>podnikateľskej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činnosti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    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 21 986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 </w:t>
      </w:r>
    </w:p>
    <w:p w:rsidR="008E5A5C" w:rsidRDefault="008E5A5C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E47F3" w:rsidRPr="009613BA" w:rsidRDefault="009E47F3" w:rsidP="009E47F3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>Univerzita vykázala za rok 201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9613BA">
        <w:rPr>
          <w:rFonts w:asciiTheme="minorHAnsi" w:hAnsiTheme="minorHAnsi" w:cs="Arial"/>
          <w:color w:val="000000" w:themeColor="text1"/>
          <w:sz w:val="22"/>
          <w:szCs w:val="22"/>
        </w:rPr>
        <w:t xml:space="preserve"> daň z príjmov právnických osôb v celko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vej  výške  7 842</w:t>
      </w:r>
      <w:r w:rsidRPr="0006339A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0C49CF">
        <w:rPr>
          <w:rFonts w:asciiTheme="minorHAnsi" w:hAnsiTheme="minorHAnsi" w:cs="Arial"/>
          <w:sz w:val="22"/>
          <w:szCs w:val="22"/>
        </w:rPr>
        <w:t>Eur.</w:t>
      </w:r>
    </w:p>
    <w:p w:rsidR="0013595B" w:rsidRDefault="0013595B" w:rsidP="0013595B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985348" w:rsidRDefault="00985348" w:rsidP="001B5B1E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87E69" w:rsidRPr="00241B2D" w:rsidRDefault="009B6D41" w:rsidP="007E3286">
      <w:pPr>
        <w:jc w:val="both"/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t>5. V</w:t>
      </w:r>
      <w:r w:rsidR="00D21F98" w:rsidRPr="00BF7E67">
        <w:rPr>
          <w:rFonts w:asciiTheme="minorHAnsi" w:hAnsiTheme="minorHAnsi" w:cs="Arial"/>
          <w:b/>
          <w:color w:val="000000" w:themeColor="text1"/>
          <w:sz w:val="26"/>
          <w:szCs w:val="26"/>
        </w:rPr>
        <w:t>ÝVOJ  FONDOV</w:t>
      </w:r>
    </w:p>
    <w:p w:rsidR="00487E69" w:rsidRPr="00241B2D" w:rsidRDefault="00487E69" w:rsidP="001B5B1E">
      <w:pPr>
        <w:spacing w:line="276" w:lineRule="auto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Stav fondov je jedným z významných ukazovateľov hospodárenia univerzity. Trnavská univerzita má v súlade so zákonom o vysokých školách vytvorené tieto finančné fondy:</w:t>
      </w:r>
    </w:p>
    <w:p w:rsidR="0013595B" w:rsidRPr="00241B2D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41B2D">
        <w:rPr>
          <w:rFonts w:asciiTheme="minorHAnsi" w:hAnsiTheme="minorHAnsi" w:cs="Arial"/>
          <w:color w:val="000000" w:themeColor="text1"/>
        </w:rPr>
        <w:t>rezervný fond,</w:t>
      </w:r>
    </w:p>
    <w:p w:rsidR="0013595B" w:rsidRPr="00241B2D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41B2D">
        <w:rPr>
          <w:rFonts w:asciiTheme="minorHAnsi" w:hAnsiTheme="minorHAnsi" w:cs="Arial"/>
          <w:color w:val="000000" w:themeColor="text1"/>
        </w:rPr>
        <w:t>fond reprodukcie,</w:t>
      </w:r>
    </w:p>
    <w:p w:rsidR="0013595B" w:rsidRPr="00241B2D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41B2D">
        <w:rPr>
          <w:rFonts w:asciiTheme="minorHAnsi" w:hAnsiTheme="minorHAnsi" w:cs="Arial"/>
          <w:color w:val="000000" w:themeColor="text1"/>
        </w:rPr>
        <w:t>štipendijný fond,</w:t>
      </w:r>
    </w:p>
    <w:p w:rsidR="0013595B" w:rsidRPr="00241B2D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41B2D">
        <w:rPr>
          <w:rFonts w:asciiTheme="minorHAnsi" w:hAnsiTheme="minorHAnsi" w:cs="Arial"/>
          <w:color w:val="000000" w:themeColor="text1"/>
        </w:rPr>
        <w:t>fond pre študentov so špecifickými potrebami,</w:t>
      </w:r>
    </w:p>
    <w:p w:rsidR="0013595B" w:rsidRPr="00241B2D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41B2D">
        <w:rPr>
          <w:rFonts w:asciiTheme="minorHAnsi" w:hAnsiTheme="minorHAnsi" w:cs="Arial"/>
          <w:color w:val="000000" w:themeColor="text1"/>
        </w:rPr>
        <w:t>fond darov a grantov,</w:t>
      </w:r>
    </w:p>
    <w:p w:rsidR="0013595B" w:rsidRPr="00241B2D" w:rsidRDefault="0013595B" w:rsidP="0013595B">
      <w:pPr>
        <w:pStyle w:val="Odsekzoznamu"/>
        <w:numPr>
          <w:ilvl w:val="0"/>
          <w:numId w:val="3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241B2D">
        <w:rPr>
          <w:rFonts w:asciiTheme="minorHAnsi" w:hAnsiTheme="minorHAnsi" w:cs="Arial"/>
          <w:color w:val="000000" w:themeColor="text1"/>
        </w:rPr>
        <w:t>sociálny fond.</w:t>
      </w:r>
    </w:p>
    <w:p w:rsidR="00995F86" w:rsidRDefault="00995F86" w:rsidP="0013595B">
      <w:pPr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995F86" w:rsidRDefault="00995F86" w:rsidP="0013595B">
      <w:pPr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lastRenderedPageBreak/>
        <w:t>Rezervný fond</w:t>
      </w:r>
    </w:p>
    <w:p w:rsidR="0013595B" w:rsidRPr="00241B2D" w:rsidRDefault="0013595B" w:rsidP="0013595B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Pohyb na tomto fonde, a to čerpanie alebo tvorba, vznikol pri rozdelení zisku v schvaľovacom konaní </w:t>
      </w:r>
      <w:r w:rsidRPr="001D4E75">
        <w:rPr>
          <w:rFonts w:asciiTheme="minorHAnsi" w:hAnsiTheme="minorHAnsi" w:cs="Arial"/>
          <w:color w:val="000000" w:themeColor="text1"/>
          <w:sz w:val="22"/>
          <w:szCs w:val="22"/>
        </w:rPr>
        <w:t>za rok 201</w:t>
      </w:r>
      <w:r w:rsidR="001D4E75" w:rsidRPr="001D4E75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, podľa dosiahnutého zisku jednotlivých súčastí univerzity.</w:t>
      </w:r>
    </w:p>
    <w:p w:rsidR="0013595B" w:rsidRPr="00241B2D" w:rsidRDefault="0013595B" w:rsidP="0013595B">
      <w:pPr>
        <w:spacing w:line="276" w:lineRule="auto"/>
        <w:ind w:firstLine="708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 xml:space="preserve">Fond reprodukcie 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Tento fond bol tvorený z odpisov majetku, obstaraného z nekapitálových dotácií a vlastných zdrojov vo výške</w:t>
      </w:r>
      <w:r w:rsidR="00F74DD0"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96031"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10C25">
        <w:rPr>
          <w:rFonts w:asciiTheme="minorHAnsi" w:hAnsiTheme="minorHAnsi" w:cs="Arial"/>
          <w:color w:val="000000" w:themeColor="text1"/>
          <w:sz w:val="22"/>
          <w:szCs w:val="22"/>
        </w:rPr>
        <w:t xml:space="preserve">261 589 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Eur. Ďalšia tvorba fondu za rok 201</w:t>
      </w:r>
      <w:r w:rsidR="00F10C25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vznikla z rozdelenia zisku za rok 201</w:t>
      </w:r>
      <w:r w:rsidR="00F10C25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Štipendijný fond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Štipendijný fond univerzita tvorila a zároveň čerpala z dotácie v zmysle zákona č. 131/2002 o VŠ a vnútorného predpisu univerzity. Okrem toho univerzita tvorila štipendijný fond z vlastných zdrojov vo výške </w:t>
      </w:r>
      <w:r w:rsidR="00155F31">
        <w:rPr>
          <w:rFonts w:asciiTheme="minorHAnsi" w:hAnsiTheme="minorHAnsi" w:cs="Arial"/>
          <w:color w:val="000000" w:themeColor="text1"/>
          <w:sz w:val="22"/>
          <w:szCs w:val="22"/>
        </w:rPr>
        <w:t xml:space="preserve">53 497 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Eur. Tieto nedotačné prostriedky</w:t>
      </w:r>
      <w:bookmarkStart w:id="3" w:name="_GoBack"/>
      <w:bookmarkEnd w:id="3"/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boli použité na vyplatenie štipendií študentom fakúlt za dosiahnutie vynikajúceho výsledku v oblasti štúdia, vedy a výskumu, za športovú a umeleckú činnosť a na sociálnu podporu. Zostatok fondu  ku koncu roka 201</w:t>
      </w:r>
      <w:r w:rsidR="00155F31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bol v sume 4</w:t>
      </w:r>
      <w:r w:rsidR="00155F31">
        <w:rPr>
          <w:rFonts w:asciiTheme="minorHAnsi" w:hAnsiTheme="minorHAnsi" w:cs="Arial"/>
          <w:color w:val="000000" w:themeColor="text1"/>
          <w:sz w:val="22"/>
          <w:szCs w:val="22"/>
        </w:rPr>
        <w:t>43 376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Eur.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hd w:val="clear" w:color="auto" w:fill="FFFFFF" w:themeFill="background1"/>
        <w:spacing w:line="276" w:lineRule="auto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pre študentov so špecifickými potrebami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ind w:firstLine="426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Na tomto fonde nebol v roku 201</w:t>
      </w:r>
      <w:r w:rsidR="00A31B54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zaznamenaný žiadny pohyb.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Fond darov a grantov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Stav fondu sa v porovnaní s rokom 201</w:t>
      </w:r>
      <w:r w:rsidR="00366B49">
        <w:rPr>
          <w:rFonts w:asciiTheme="minorHAnsi" w:hAnsiTheme="minorHAnsi" w:cs="Arial"/>
          <w:color w:val="000000" w:themeColor="text1"/>
          <w:sz w:val="22"/>
          <w:szCs w:val="22"/>
        </w:rPr>
        <w:t>7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zn</w:t>
      </w:r>
      <w:r w:rsidR="00CE0C9C" w:rsidRPr="00241B2D">
        <w:rPr>
          <w:rFonts w:asciiTheme="minorHAnsi" w:hAnsiTheme="minorHAnsi" w:cs="Arial"/>
          <w:color w:val="000000" w:themeColor="text1"/>
          <w:sz w:val="22"/>
          <w:szCs w:val="22"/>
        </w:rPr>
        <w:t>ížil o</w:t>
      </w:r>
      <w:r w:rsidR="00366B49">
        <w:rPr>
          <w:rFonts w:asciiTheme="minorHAnsi" w:hAnsiTheme="minorHAnsi" w:cs="Arial"/>
          <w:color w:val="000000" w:themeColor="text1"/>
          <w:sz w:val="22"/>
          <w:szCs w:val="22"/>
        </w:rPr>
        <w:t xml:space="preserve"> 9 326 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Eur. Príjmy z darov  použila Trnavská univerzita na krytie prevádzkových nákladov pre podujatia, na ktoré boli dary určené.  </w:t>
      </w:r>
    </w:p>
    <w:p w:rsidR="0013595B" w:rsidRPr="00241B2D" w:rsidRDefault="0013595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13595B" w:rsidRPr="00241B2D" w:rsidRDefault="0013595B" w:rsidP="0013595B">
      <w:pPr>
        <w:shd w:val="clear" w:color="auto" w:fill="FFFFFF" w:themeFill="background1"/>
        <w:spacing w:line="276" w:lineRule="auto"/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Sociálny fond</w:t>
      </w:r>
    </w:p>
    <w:p w:rsidR="004E132B" w:rsidRDefault="0013595B" w:rsidP="00BA1CDF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Sociálny fond tvorila aj čerpala Trnavská univerzita podľa zákona č. 152/1994 o sociálnom fonde v znení neskorších predpisov a na základe Kolektívnej zmluvy. Výška zákonnej tvorby za rok 201</w:t>
      </w:r>
      <w:r w:rsidR="00A34CFA">
        <w:rPr>
          <w:rFonts w:asciiTheme="minorHAnsi" w:hAnsiTheme="minorHAnsi" w:cs="Arial"/>
          <w:color w:val="000000" w:themeColor="text1"/>
          <w:sz w:val="22"/>
          <w:szCs w:val="22"/>
        </w:rPr>
        <w:t>8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predstavovala čiastku </w:t>
      </w:r>
      <w:r w:rsidR="00A34CFA">
        <w:rPr>
          <w:rFonts w:asciiTheme="minorHAnsi" w:hAnsiTheme="minorHAnsi" w:cs="Arial"/>
          <w:color w:val="000000" w:themeColor="text1"/>
          <w:sz w:val="22"/>
          <w:szCs w:val="22"/>
        </w:rPr>
        <w:t xml:space="preserve">101 903 </w:t>
      </w:r>
      <w:r w:rsidRPr="00241B2D">
        <w:rPr>
          <w:rFonts w:asciiTheme="minorHAnsi" w:hAnsiTheme="minorHAnsi" w:cs="Arial"/>
          <w:color w:val="000000" w:themeColor="text1"/>
          <w:sz w:val="22"/>
          <w:szCs w:val="22"/>
        </w:rPr>
        <w:t>Eur. Sociálny fond bol čerpaný predovšetkým</w:t>
      </w:r>
      <w:r w:rsidR="00A34CFA">
        <w:rPr>
          <w:rFonts w:asciiTheme="minorHAnsi" w:hAnsiTheme="minorHAnsi" w:cs="Arial"/>
          <w:color w:val="000000" w:themeColor="text1"/>
          <w:sz w:val="22"/>
          <w:szCs w:val="22"/>
        </w:rPr>
        <w:t xml:space="preserve"> na dopravu zamestnancov vo výške 34 056 Eur,</w:t>
      </w:r>
      <w:r w:rsidR="00BA1CD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A1CDF"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na stravu  zamestnancov vo výške 28 </w:t>
      </w:r>
      <w:r w:rsidR="00BA1CDF">
        <w:rPr>
          <w:rFonts w:asciiTheme="minorHAnsi" w:hAnsiTheme="minorHAnsi" w:cs="Arial"/>
          <w:color w:val="000000" w:themeColor="text1"/>
          <w:sz w:val="22"/>
          <w:szCs w:val="22"/>
        </w:rPr>
        <w:t>903</w:t>
      </w:r>
      <w:r w:rsidR="00BA1CDF"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 Eur</w:t>
      </w:r>
      <w:r w:rsidR="00BA1CDF">
        <w:rPr>
          <w:rFonts w:asciiTheme="minorHAnsi" w:hAnsiTheme="minorHAnsi" w:cs="Arial"/>
          <w:color w:val="000000" w:themeColor="text1"/>
          <w:sz w:val="22"/>
          <w:szCs w:val="22"/>
        </w:rPr>
        <w:t xml:space="preserve"> a na </w:t>
      </w:r>
      <w:r w:rsidR="00A34CFA" w:rsidRPr="00241B2D">
        <w:rPr>
          <w:rFonts w:asciiTheme="minorHAnsi" w:hAnsiTheme="minorHAnsi" w:cs="Arial"/>
          <w:color w:val="000000" w:themeColor="text1"/>
          <w:sz w:val="22"/>
          <w:szCs w:val="22"/>
        </w:rPr>
        <w:t xml:space="preserve">regeneráciu zamestnancov vo výške </w:t>
      </w:r>
      <w:r w:rsidR="00BA1CDF">
        <w:rPr>
          <w:rFonts w:asciiTheme="minorHAnsi" w:hAnsiTheme="minorHAnsi" w:cs="Arial"/>
          <w:color w:val="000000" w:themeColor="text1"/>
          <w:sz w:val="22"/>
          <w:szCs w:val="22"/>
        </w:rPr>
        <w:t xml:space="preserve">26 519 </w:t>
      </w:r>
      <w:r w:rsidR="00A34CFA" w:rsidRPr="00241B2D">
        <w:rPr>
          <w:rFonts w:asciiTheme="minorHAnsi" w:hAnsiTheme="minorHAnsi" w:cs="Arial"/>
          <w:color w:val="000000" w:themeColor="text1"/>
          <w:sz w:val="22"/>
          <w:szCs w:val="22"/>
        </w:rPr>
        <w:t>Eur</w:t>
      </w:r>
      <w:r w:rsidR="00BA1CDF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:rsidR="004E132B" w:rsidRDefault="004E132B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995F86" w:rsidRDefault="00995F86" w:rsidP="0013595B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0E44DF" w:rsidRPr="009613BA" w:rsidRDefault="000E44DF" w:rsidP="007E3286">
      <w:pPr>
        <w:rPr>
          <w:rFonts w:asciiTheme="minorHAnsi" w:hAnsiTheme="minorHAnsi" w:cs="Arial"/>
          <w:b/>
          <w:sz w:val="26"/>
          <w:szCs w:val="26"/>
        </w:rPr>
      </w:pPr>
      <w:r w:rsidRPr="00BF7E67">
        <w:rPr>
          <w:rFonts w:asciiTheme="minorHAnsi" w:hAnsiTheme="minorHAnsi" w:cs="Arial"/>
          <w:b/>
          <w:sz w:val="26"/>
          <w:szCs w:val="26"/>
        </w:rPr>
        <w:t>6. R</w:t>
      </w:r>
      <w:r w:rsidR="004452E0" w:rsidRPr="00BF7E67">
        <w:rPr>
          <w:rFonts w:asciiTheme="minorHAnsi" w:hAnsiTheme="minorHAnsi" w:cs="Arial"/>
          <w:b/>
          <w:sz w:val="26"/>
          <w:szCs w:val="26"/>
        </w:rPr>
        <w:t>EKAPITULÁCIA  ZÚČTOVANIA SO  ŠTÁTNYM  ROZPOČTOM</w:t>
      </w:r>
    </w:p>
    <w:p w:rsidR="00123473" w:rsidRPr="001B5B1E" w:rsidRDefault="00123473" w:rsidP="001B5B1E">
      <w:pPr>
        <w:tabs>
          <w:tab w:val="left" w:pos="1580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E878D1" w:rsidRPr="00E878D1" w:rsidRDefault="00E878D1" w:rsidP="00E878D1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78D1">
        <w:rPr>
          <w:rFonts w:asciiTheme="minorHAnsi" w:hAnsiTheme="minorHAnsi" w:cs="Arial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2018. Hlavným zdrojom financovania univerzity v sledovanom roku boli dotácie zo štátneho rozpočtu poskytnuté Trnavskej univerzite prostredníctvom kapitoly MŠVVaŠ   SR. Univerzite boli v súlade s § 89 zákona o VŠ a na základe dotačnej zmluvy poskytnuté prostredníctvom programov tieto dotácie:</w:t>
      </w:r>
    </w:p>
    <w:p w:rsidR="00E878D1" w:rsidRPr="00E878D1" w:rsidRDefault="00E878D1" w:rsidP="00E878D1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78D1">
        <w:rPr>
          <w:rFonts w:asciiTheme="minorHAnsi" w:hAnsiTheme="minorHAnsi" w:cs="Arial"/>
          <w:color w:val="000000" w:themeColor="text1"/>
          <w:sz w:val="22"/>
          <w:szCs w:val="22"/>
        </w:rPr>
        <w:t>a) dotácia na uskutočňovanie akreditovaných študijných programov a zabezpečenie prevádzky VŠ,</w:t>
      </w:r>
    </w:p>
    <w:p w:rsidR="00E878D1" w:rsidRPr="00E878D1" w:rsidRDefault="00E878D1" w:rsidP="00E878D1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78D1">
        <w:rPr>
          <w:rFonts w:asciiTheme="minorHAnsi" w:hAnsiTheme="minorHAnsi" w:cs="Arial"/>
          <w:color w:val="000000" w:themeColor="text1"/>
          <w:sz w:val="22"/>
          <w:szCs w:val="22"/>
        </w:rPr>
        <w:t>b) dotácia na výskumnú, vývojovú alebo umeleckú činnosť,</w:t>
      </w:r>
    </w:p>
    <w:p w:rsidR="00E878D1" w:rsidRPr="00E878D1" w:rsidRDefault="00E878D1" w:rsidP="00E878D1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78D1">
        <w:rPr>
          <w:rFonts w:asciiTheme="minorHAnsi" w:hAnsiTheme="minorHAnsi" w:cs="Arial"/>
          <w:color w:val="000000" w:themeColor="text1"/>
          <w:sz w:val="22"/>
          <w:szCs w:val="22"/>
        </w:rPr>
        <w:t>c) dotácia na rozvoj vysokej školy,</w:t>
      </w:r>
    </w:p>
    <w:p w:rsidR="00E878D1" w:rsidRPr="00E878D1" w:rsidRDefault="00E878D1" w:rsidP="00E878D1">
      <w:pPr>
        <w:spacing w:line="276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78D1">
        <w:rPr>
          <w:rFonts w:asciiTheme="minorHAnsi" w:hAnsiTheme="minorHAnsi" w:cs="Arial"/>
          <w:color w:val="000000" w:themeColor="text1"/>
          <w:sz w:val="22"/>
          <w:szCs w:val="22"/>
        </w:rPr>
        <w:t>d) dotácia na sociálnu podporu študentov.</w:t>
      </w:r>
    </w:p>
    <w:p w:rsidR="00E878D1" w:rsidRPr="00E878D1" w:rsidRDefault="00E878D1" w:rsidP="00E878D1">
      <w:pPr>
        <w:spacing w:line="276" w:lineRule="auto"/>
        <w:ind w:firstLine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878D1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Univerzita použije v nasledujúcom kalendárnom roku zostatok dotácií, ktorý vykázala k 31.12.2018 v tejto štruktúre:</w:t>
      </w:r>
    </w:p>
    <w:p w:rsidR="00E878D1" w:rsidRPr="00E878D1" w:rsidRDefault="00E878D1" w:rsidP="00E878D1">
      <w:pPr>
        <w:spacing w:line="276" w:lineRule="auto"/>
        <w:ind w:firstLine="426"/>
        <w:rPr>
          <w:rFonts w:asciiTheme="minorHAnsi" w:hAnsiTheme="minorHAnsi" w:cs="Arial"/>
          <w:color w:val="FF0000"/>
          <w:sz w:val="22"/>
          <w:szCs w:val="22"/>
        </w:rPr>
      </w:pPr>
    </w:p>
    <w:p w:rsidR="00E878D1" w:rsidRPr="00E878D1" w:rsidRDefault="00E878D1" w:rsidP="00E878D1">
      <w:pPr>
        <w:pStyle w:val="Odsekzoznamu"/>
        <w:numPr>
          <w:ilvl w:val="0"/>
          <w:numId w:val="20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E878D1">
        <w:rPr>
          <w:rFonts w:asciiTheme="minorHAnsi" w:hAnsiTheme="minorHAnsi" w:cs="Arial"/>
          <w:color w:val="000000" w:themeColor="text1"/>
        </w:rPr>
        <w:t>nedočerpaná dotácia na uskutočňovanie akreditovaných študijných programov vo výške 1 933 664,66 Eur, ktorá zahŕňa predovšetkým mzdy, poistné, tovary a služby a ostatné peňažné plnenia z nákladov za december 2018 vyplatené v januári 2019 a zostatok finančných prostriedkov na účelových dotáciách,</w:t>
      </w:r>
    </w:p>
    <w:p w:rsidR="00E878D1" w:rsidRPr="00E878D1" w:rsidRDefault="00E878D1" w:rsidP="00E878D1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E878D1">
        <w:rPr>
          <w:rFonts w:asciiTheme="minorHAnsi" w:hAnsiTheme="minorHAnsi" w:cs="Arial"/>
          <w:color w:val="000000" w:themeColor="text1"/>
        </w:rPr>
        <w:t>nedočerpaná dotácia na výskumnú, vývojovú a  umeleckú činnosť vo výške 635 662,71 Eur, ktorá zahŕňa mzdy, poistné, štipendiá doktorandov, tovary a služby a ostatné peňažné plnenia z nákladov za december 2018 vyplatené v januári 2019 a výdavky na pokračujúce projekty VEGA, KEGA a APVV,</w:t>
      </w:r>
    </w:p>
    <w:p w:rsidR="00E878D1" w:rsidRPr="00E878D1" w:rsidRDefault="00E878D1" w:rsidP="00E878D1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E878D1">
        <w:rPr>
          <w:rFonts w:asciiTheme="minorHAnsi" w:hAnsiTheme="minorHAnsi" w:cs="Arial"/>
          <w:color w:val="000000" w:themeColor="text1"/>
        </w:rPr>
        <w:t>nedočerpaná dotácia na rozvoj vysokej školy vo výške 22 845,96 Eur, ktorá zahŕňa mzdy, poistné, tovary a služby z nákladov za december 2018 vyplatené v januári 2019,</w:t>
      </w:r>
    </w:p>
    <w:p w:rsidR="00E878D1" w:rsidRPr="00E878D1" w:rsidRDefault="00E878D1" w:rsidP="00E878D1">
      <w:pPr>
        <w:pStyle w:val="Odsekzoznamu"/>
        <w:numPr>
          <w:ilvl w:val="0"/>
          <w:numId w:val="21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E878D1">
        <w:rPr>
          <w:rFonts w:asciiTheme="minorHAnsi" w:hAnsiTheme="minorHAnsi" w:cs="Arial"/>
          <w:color w:val="000000" w:themeColor="text1"/>
        </w:rPr>
        <w:t>nedočerpaná dotácia na sociálnu podporu študentov vo výške 89 062,13 Eur, ktorá zahŕňa sociálne štipendiá študentov a finančné prostriedky na podporu ubytovania, stravovania športových a kultúrnych aktivít študentov.</w:t>
      </w:r>
    </w:p>
    <w:p w:rsidR="008E67CE" w:rsidRDefault="008E67CE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995F86" w:rsidRDefault="00995F86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7D2649" w:rsidRPr="0096684F" w:rsidRDefault="007D2649" w:rsidP="007E3286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96684F">
        <w:rPr>
          <w:rFonts w:asciiTheme="minorHAnsi" w:hAnsiTheme="minorHAnsi" w:cs="Arial"/>
          <w:b/>
          <w:sz w:val="26"/>
          <w:szCs w:val="26"/>
        </w:rPr>
        <w:t>7. Z</w:t>
      </w:r>
      <w:r w:rsidR="006C1651" w:rsidRPr="0096684F">
        <w:rPr>
          <w:rFonts w:asciiTheme="minorHAnsi" w:hAnsiTheme="minorHAnsi" w:cs="Arial"/>
          <w:b/>
          <w:sz w:val="26"/>
          <w:szCs w:val="26"/>
        </w:rPr>
        <w:t>ÁVER</w:t>
      </w:r>
    </w:p>
    <w:p w:rsidR="00887022" w:rsidRPr="0096684F" w:rsidRDefault="00887022" w:rsidP="007E328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eastAsia="sk-SK"/>
        </w:rPr>
      </w:pPr>
    </w:p>
    <w:p w:rsidR="007D2649" w:rsidRPr="0096684F" w:rsidRDefault="00887022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</w:pPr>
      <w:r w:rsidRPr="0096684F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Vyhodnotenie p</w:t>
      </w:r>
      <w:r w:rsidR="00370693" w:rsidRPr="0096684F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rijatých opatrení formulovaných vo</w:t>
      </w:r>
      <w:r w:rsidRPr="0096684F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 xml:space="preserve"> „Výročnej správe o hospodárení TU v</w:t>
      </w:r>
      <w:r w:rsidR="00FC3E29" w:rsidRPr="0096684F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 </w:t>
      </w:r>
      <w:r w:rsidR="006D19EA" w:rsidRPr="0096684F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Trnave za rok 201</w:t>
      </w:r>
      <w:r w:rsidR="001B7614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7</w:t>
      </w:r>
      <w:r w:rsidRPr="0096684F">
        <w:rPr>
          <w:rFonts w:asciiTheme="minorHAnsi" w:hAnsiTheme="minorHAnsi" w:cs="Arial"/>
          <w:b/>
          <w:bCs/>
          <w:color w:val="000000" w:themeColor="text1"/>
          <w:sz w:val="22"/>
          <w:szCs w:val="22"/>
          <w:lang w:eastAsia="sk-SK"/>
        </w:rPr>
        <w:t>“</w:t>
      </w:r>
    </w:p>
    <w:p w:rsidR="00E269EC" w:rsidRPr="0096684F" w:rsidRDefault="00E269EC" w:rsidP="009613B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b/>
          <w:bCs/>
          <w:color w:val="FF0000"/>
          <w:sz w:val="22"/>
          <w:szCs w:val="22"/>
          <w:lang w:eastAsia="sk-SK"/>
        </w:rPr>
      </w:pPr>
    </w:p>
    <w:p w:rsidR="00FC4952" w:rsidRPr="0096684F" w:rsidRDefault="00FC4952" w:rsidP="00F049A5">
      <w:pPr>
        <w:pStyle w:val="Odsekzoznamu1"/>
        <w:numPr>
          <w:ilvl w:val="0"/>
          <w:numId w:val="39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96684F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FC4952" w:rsidRPr="0096684F" w:rsidRDefault="00FC4952" w:rsidP="00FC4952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F4216E" w:rsidRPr="00E269EC" w:rsidRDefault="00F4216E" w:rsidP="00F4216E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269EC">
        <w:rPr>
          <w:rFonts w:asciiTheme="minorHAnsi" w:hAnsiTheme="minorHAnsi" w:cs="Arial"/>
          <w:color w:val="000000" w:themeColor="text1"/>
          <w:sz w:val="22"/>
          <w:szCs w:val="22"/>
        </w:rPr>
        <w:t>Opatrenie sa plní priebežne.</w:t>
      </w:r>
    </w:p>
    <w:p w:rsidR="00F4216E" w:rsidRPr="00E269EC" w:rsidRDefault="00F4216E" w:rsidP="00F4216E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4216E" w:rsidRPr="00E269EC" w:rsidRDefault="00F4216E" w:rsidP="00F4216E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E269EC">
        <w:rPr>
          <w:rFonts w:asciiTheme="minorHAnsi" w:hAnsiTheme="minorHAnsi" w:cs="Arial"/>
          <w:color w:val="000000" w:themeColor="text1"/>
          <w:sz w:val="22"/>
          <w:szCs w:val="22"/>
        </w:rPr>
        <w:t xml:space="preserve">Dodržiavanie hospodárnosti, efektívnosti a účinnosti pri hospodárení s finančnými prostriedkami je úloha trvalá, ktorá vyplýva z ustanovení príslušných zákonných noriem. </w:t>
      </w:r>
    </w:p>
    <w:p w:rsidR="00FC4952" w:rsidRPr="0096684F" w:rsidRDefault="00FC4952" w:rsidP="00FC4952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FC4952" w:rsidRPr="0096684F" w:rsidRDefault="00FC4952" w:rsidP="00FC4952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FC4952" w:rsidRPr="0096684F" w:rsidRDefault="00FC4952" w:rsidP="00F049A5">
      <w:pPr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96684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Zvyšovať a hľadať možnosti nárastu </w:t>
      </w:r>
      <w:proofErr w:type="spellStart"/>
      <w:r w:rsidRPr="0096684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mimodotačných</w:t>
      </w:r>
      <w:proofErr w:type="spellEnd"/>
      <w:r w:rsidRPr="0096684F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zdrojov vo všetkých súčastiach Trnavskej univerzity, najmä však v tých, v ktorých je nízky podiel týchto zdrojov.</w:t>
      </w:r>
    </w:p>
    <w:p w:rsidR="00FC4952" w:rsidRPr="0096684F" w:rsidRDefault="00FC4952" w:rsidP="00FC495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F4216E" w:rsidRPr="00F049A5" w:rsidRDefault="00F4216E" w:rsidP="00F4216E">
      <w:pPr>
        <w:pStyle w:val="Odsekzoznamu"/>
        <w:ind w:left="426"/>
        <w:jc w:val="both"/>
        <w:rPr>
          <w:rFonts w:asciiTheme="minorHAnsi" w:hAnsiTheme="minorHAnsi" w:cs="Arial"/>
          <w:color w:val="000000" w:themeColor="text1"/>
        </w:rPr>
      </w:pPr>
      <w:r w:rsidRPr="00F049A5">
        <w:rPr>
          <w:rFonts w:asciiTheme="minorHAnsi" w:hAnsiTheme="minorHAnsi" w:cs="Arial"/>
          <w:color w:val="000000" w:themeColor="text1"/>
        </w:rPr>
        <w:t xml:space="preserve">Zvyšovanie nárastu </w:t>
      </w:r>
      <w:proofErr w:type="spellStart"/>
      <w:r w:rsidRPr="00F049A5">
        <w:rPr>
          <w:rFonts w:asciiTheme="minorHAnsi" w:hAnsiTheme="minorHAnsi" w:cs="Arial"/>
          <w:color w:val="000000" w:themeColor="text1"/>
        </w:rPr>
        <w:t>mimodotačných</w:t>
      </w:r>
      <w:proofErr w:type="spellEnd"/>
      <w:r w:rsidRPr="00F049A5">
        <w:rPr>
          <w:rFonts w:asciiTheme="minorHAnsi" w:hAnsiTheme="minorHAnsi" w:cs="Arial"/>
          <w:color w:val="000000" w:themeColor="text1"/>
        </w:rPr>
        <w:t xml:space="preserve"> zdrojov na všetkých súčastiach Trnavskej univerzity je  úloha trvalá z hľadiska koncepcie rozvoja univerzity. </w:t>
      </w:r>
    </w:p>
    <w:p w:rsidR="00F4216E" w:rsidRPr="00F049A5" w:rsidRDefault="00F4216E" w:rsidP="00F4216E">
      <w:pPr>
        <w:pStyle w:val="Odsekzoznamu"/>
        <w:ind w:left="426"/>
        <w:jc w:val="both"/>
        <w:rPr>
          <w:rFonts w:asciiTheme="minorHAnsi" w:hAnsiTheme="minorHAnsi" w:cs="Arial"/>
          <w:color w:val="000000" w:themeColor="text1"/>
        </w:rPr>
      </w:pPr>
      <w:r w:rsidRPr="00F049A5">
        <w:rPr>
          <w:rFonts w:asciiTheme="minorHAnsi" w:hAnsiTheme="minorHAnsi" w:cs="Arial"/>
          <w:color w:val="000000" w:themeColor="text1"/>
        </w:rPr>
        <w:t>V roku 201</w:t>
      </w:r>
      <w:r>
        <w:rPr>
          <w:rFonts w:asciiTheme="minorHAnsi" w:hAnsiTheme="minorHAnsi" w:cs="Arial"/>
          <w:color w:val="000000" w:themeColor="text1"/>
        </w:rPr>
        <w:t>8</w:t>
      </w:r>
      <w:r w:rsidRPr="00F049A5">
        <w:rPr>
          <w:rFonts w:asciiTheme="minorHAnsi" w:hAnsiTheme="minorHAnsi" w:cs="Arial"/>
          <w:color w:val="000000" w:themeColor="text1"/>
        </w:rPr>
        <w:t xml:space="preserve"> prišlo k opätovnému poklesu príjmov </w:t>
      </w:r>
      <w:proofErr w:type="spellStart"/>
      <w:r w:rsidRPr="00F049A5">
        <w:rPr>
          <w:rFonts w:asciiTheme="minorHAnsi" w:hAnsiTheme="minorHAnsi" w:cs="Arial"/>
          <w:color w:val="000000" w:themeColor="text1"/>
        </w:rPr>
        <w:t>mimodotačných</w:t>
      </w:r>
      <w:proofErr w:type="spellEnd"/>
      <w:r w:rsidRPr="00F049A5">
        <w:rPr>
          <w:rFonts w:asciiTheme="minorHAnsi" w:hAnsiTheme="minorHAnsi" w:cs="Arial"/>
          <w:color w:val="000000" w:themeColor="text1"/>
        </w:rPr>
        <w:t xml:space="preserve"> zdrojov univerzity v porovnaní s rokom 201</w:t>
      </w:r>
      <w:r>
        <w:rPr>
          <w:rFonts w:asciiTheme="minorHAnsi" w:hAnsiTheme="minorHAnsi" w:cs="Arial"/>
          <w:color w:val="000000" w:themeColor="text1"/>
        </w:rPr>
        <w:t>7.</w:t>
      </w:r>
    </w:p>
    <w:p w:rsidR="004E132B" w:rsidRPr="0096684F" w:rsidRDefault="004E132B" w:rsidP="00FC495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FC4952" w:rsidRPr="0096684F" w:rsidRDefault="00FC4952" w:rsidP="00F049A5">
      <w:pPr>
        <w:numPr>
          <w:ilvl w:val="0"/>
          <w:numId w:val="39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6684F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Zabezpečiť rovnomernosť v čerpaní dovoleniek zamestnancov v súlade s platnými zákonnými normami tak, aby zostatok dovolenky, ktorú si zamestnanec prenáša do ďalšieho roka bol najviac 10 dní.</w:t>
      </w:r>
    </w:p>
    <w:p w:rsidR="004E132B" w:rsidRPr="0096684F" w:rsidRDefault="004E132B" w:rsidP="004E132B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F4216E" w:rsidRPr="00F049A5" w:rsidRDefault="00F4216E" w:rsidP="00F4216E">
      <w:pPr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</w:rPr>
        <w:t>Opatrenie sa plnilo čiastočne.</w:t>
      </w:r>
    </w:p>
    <w:p w:rsidR="00EC1DF8" w:rsidRPr="0096684F" w:rsidRDefault="00EC1DF8" w:rsidP="00EC1DF8">
      <w:pPr>
        <w:spacing w:line="276" w:lineRule="auto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EC1DF8" w:rsidRPr="0096684F" w:rsidRDefault="000A1354" w:rsidP="00F049A5">
      <w:pPr>
        <w:pStyle w:val="Odsekzoznamu"/>
        <w:numPr>
          <w:ilvl w:val="0"/>
          <w:numId w:val="39"/>
        </w:numPr>
        <w:ind w:left="426" w:hanging="426"/>
        <w:jc w:val="both"/>
        <w:rPr>
          <w:rFonts w:asciiTheme="minorHAnsi" w:hAnsiTheme="minorHAnsi" w:cs="Arial"/>
          <w:color w:val="000000" w:themeColor="text1"/>
        </w:rPr>
      </w:pPr>
      <w:r w:rsidRPr="0096684F">
        <w:rPr>
          <w:rFonts w:asciiTheme="minorHAnsi" w:hAnsiTheme="minorHAnsi" w:cs="Arial"/>
          <w:color w:val="000000" w:themeColor="text1"/>
        </w:rPr>
        <w:t xml:space="preserve">Zabezpečiť aktualizáciu univerzitnej legislatívy týkajúcej sa </w:t>
      </w:r>
      <w:r w:rsidR="009F59A5" w:rsidRPr="0096684F">
        <w:rPr>
          <w:rFonts w:asciiTheme="minorHAnsi" w:hAnsiTheme="minorHAnsi" w:cs="Arial"/>
          <w:color w:val="000000" w:themeColor="text1"/>
        </w:rPr>
        <w:t>obehu účtovných dokladov na univerzite a legislatívy týkajúcej sa zabezpečenia jednotného postupu spracovávania a evidencie účtovných dokladov pre potreby dane z pridanej hodnoty</w:t>
      </w:r>
      <w:r w:rsidRPr="0096684F">
        <w:rPr>
          <w:rFonts w:asciiTheme="minorHAnsi" w:hAnsiTheme="minorHAnsi" w:cs="Arial"/>
          <w:color w:val="000000" w:themeColor="text1"/>
        </w:rPr>
        <w:t>.</w:t>
      </w:r>
    </w:p>
    <w:p w:rsidR="00551204" w:rsidRPr="0096684F" w:rsidRDefault="00551204" w:rsidP="00D4426C">
      <w:pPr>
        <w:pStyle w:val="Odsekzoznamu"/>
        <w:ind w:left="1430"/>
        <w:jc w:val="right"/>
        <w:rPr>
          <w:rFonts w:asciiTheme="minorHAnsi" w:hAnsiTheme="minorHAnsi" w:cs="Arial"/>
          <w:i/>
          <w:color w:val="000000" w:themeColor="text1"/>
        </w:rPr>
      </w:pPr>
    </w:p>
    <w:p w:rsidR="000B6045" w:rsidRPr="00F4216E" w:rsidRDefault="00F4216E" w:rsidP="00F4216E">
      <w:pPr>
        <w:spacing w:line="276" w:lineRule="auto"/>
        <w:ind w:left="426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F4216E">
        <w:rPr>
          <w:rFonts w:asciiTheme="minorHAnsi" w:hAnsiTheme="minorHAnsi" w:cs="Arial"/>
          <w:color w:val="000000" w:themeColor="text1"/>
          <w:sz w:val="22"/>
          <w:szCs w:val="22"/>
        </w:rPr>
        <w:t>Opatrenie sa splnilo (február 2018).</w:t>
      </w:r>
    </w:p>
    <w:p w:rsidR="00AF44D3" w:rsidRDefault="00AF44D3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F4216E" w:rsidRDefault="00F4216E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F4216E" w:rsidRPr="0096684F" w:rsidRDefault="00F4216E" w:rsidP="00F4216E">
      <w:pPr>
        <w:spacing w:line="276" w:lineRule="auto"/>
        <w:ind w:left="426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96684F">
        <w:rPr>
          <w:rFonts w:asciiTheme="minorHAnsi" w:hAnsiTheme="minorHAnsi" w:cs="Arial"/>
          <w:b/>
          <w:color w:val="000000" w:themeColor="text1"/>
          <w:sz w:val="22"/>
          <w:szCs w:val="22"/>
        </w:rPr>
        <w:t>Opatrenia prijaté k hodnotenému hospodárskemu roku 201</w:t>
      </w:r>
      <w:r>
        <w:rPr>
          <w:rFonts w:asciiTheme="minorHAnsi" w:hAnsiTheme="minorHAnsi" w:cs="Arial"/>
          <w:b/>
          <w:color w:val="000000" w:themeColor="text1"/>
          <w:sz w:val="22"/>
          <w:szCs w:val="22"/>
        </w:rPr>
        <w:t>8</w:t>
      </w:r>
    </w:p>
    <w:p w:rsidR="0041598E" w:rsidRDefault="0041598E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F4216E" w:rsidRPr="00F049A5" w:rsidRDefault="00F4216E" w:rsidP="00F4216E">
      <w:pPr>
        <w:pStyle w:val="Odsekzoznamu1"/>
        <w:numPr>
          <w:ilvl w:val="0"/>
          <w:numId w:val="44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  <w:r w:rsidRPr="00F049A5">
        <w:rPr>
          <w:rFonts w:asciiTheme="minorHAnsi" w:hAnsiTheme="minorHAnsi" w:cs="Arial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F4216E" w:rsidRDefault="00F4216E" w:rsidP="00F4216E">
      <w:pPr>
        <w:pStyle w:val="Odsekzoznamu1"/>
        <w:spacing w:after="0"/>
        <w:ind w:left="851" w:hanging="851"/>
        <w:jc w:val="both"/>
        <w:rPr>
          <w:rFonts w:asciiTheme="minorHAnsi" w:hAnsiTheme="minorHAnsi" w:cs="Arial"/>
          <w:color w:val="000000" w:themeColor="text1"/>
          <w:sz w:val="22"/>
          <w:szCs w:val="22"/>
          <w:lang w:val="sk-SK"/>
        </w:rPr>
      </w:pPr>
    </w:p>
    <w:p w:rsidR="00F4216E" w:rsidRPr="00F049A5" w:rsidRDefault="00F4216E" w:rsidP="00F4216E">
      <w:pPr>
        <w:pStyle w:val="Odsekzoznamu1"/>
        <w:spacing w:after="0"/>
        <w:ind w:left="1134" w:hanging="708"/>
        <w:jc w:val="right"/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</w:pPr>
      <w:proofErr w:type="spellStart"/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</w:t>
      </w:r>
      <w:r w:rsidR="00963043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>i</w:t>
      </w:r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  <w:lang w:val="sk-SK"/>
        </w:rPr>
        <w:t xml:space="preserve"> ŠJ, riaditeľ ŠD</w:t>
      </w:r>
    </w:p>
    <w:p w:rsidR="00F4216E" w:rsidRPr="00190400" w:rsidRDefault="00F4216E" w:rsidP="00F4216E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  <w:r w:rsidRPr="00F049A5">
        <w:rPr>
          <w:rFonts w:asciiTheme="minorHAnsi" w:hAnsiTheme="minorHAnsi" w:cs="Arial"/>
          <w:i/>
          <w:color w:val="000000" w:themeColor="text1"/>
          <w:sz w:val="22"/>
          <w:szCs w:val="22"/>
        </w:rPr>
        <w:t>Termín: priebežne</w:t>
      </w:r>
    </w:p>
    <w:p w:rsidR="00F4216E" w:rsidRPr="00190400" w:rsidRDefault="00F4216E" w:rsidP="00F4216E">
      <w:pPr>
        <w:spacing w:line="276" w:lineRule="auto"/>
        <w:ind w:left="426"/>
        <w:jc w:val="right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F4216E" w:rsidRPr="00CC2DE3" w:rsidRDefault="00F4216E" w:rsidP="00F4216E">
      <w:pPr>
        <w:numPr>
          <w:ilvl w:val="0"/>
          <w:numId w:val="4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Zvyšovať a hľadať možnosti nárastu </w:t>
      </w:r>
      <w:proofErr w:type="spellStart"/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>mimodotačných</w:t>
      </w:r>
      <w:proofErr w:type="spellEnd"/>
      <w:r w:rsidRPr="00CC2DE3"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  <w:t xml:space="preserve"> zdrojov vo všetkých súčastiach Trnavskej univerzity, najmä však v tých, v ktorých je nízky podiel týchto zdrojov.</w:t>
      </w:r>
    </w:p>
    <w:p w:rsidR="00F4216E" w:rsidRDefault="00F4216E" w:rsidP="00F4216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sk-SK"/>
        </w:rPr>
      </w:pPr>
    </w:p>
    <w:p w:rsidR="00F4216E" w:rsidRPr="00CC2DE3" w:rsidRDefault="00F4216E" w:rsidP="00F4216E">
      <w:pPr>
        <w:autoSpaceDE w:val="0"/>
        <w:autoSpaceDN w:val="0"/>
        <w:adjustRightInd w:val="0"/>
        <w:spacing w:line="276" w:lineRule="auto"/>
        <w:ind w:left="426"/>
        <w:jc w:val="right"/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</w:pPr>
      <w:proofErr w:type="spellStart"/>
      <w:r w:rsidRPr="00CC2DE3"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  <w:t>Zodp</w:t>
      </w:r>
      <w:proofErr w:type="spellEnd"/>
      <w:r w:rsidRPr="00CC2DE3"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  <w:t>.: dekani fakúlt, riaditelia pracovísk, kvestor</w:t>
      </w:r>
    </w:p>
    <w:p w:rsidR="00F4216E" w:rsidRDefault="00F4216E" w:rsidP="00F4216E">
      <w:pPr>
        <w:autoSpaceDE w:val="0"/>
        <w:autoSpaceDN w:val="0"/>
        <w:adjustRightInd w:val="0"/>
        <w:spacing w:line="276" w:lineRule="auto"/>
        <w:ind w:left="426"/>
        <w:jc w:val="right"/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</w:pPr>
      <w:r w:rsidRPr="00CC2DE3">
        <w:rPr>
          <w:rFonts w:asciiTheme="minorHAnsi" w:hAnsiTheme="minorHAnsi" w:cs="Arial"/>
          <w:bCs/>
          <w:i/>
          <w:iCs/>
          <w:color w:val="000000" w:themeColor="text1"/>
          <w:sz w:val="22"/>
          <w:szCs w:val="22"/>
          <w:lang w:eastAsia="sk-SK"/>
        </w:rPr>
        <w:t>Termín: priebežne</w:t>
      </w:r>
    </w:p>
    <w:p w:rsidR="00F4216E" w:rsidRPr="00190400" w:rsidRDefault="00F4216E" w:rsidP="00F4216E">
      <w:pPr>
        <w:spacing w:line="276" w:lineRule="auto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F4216E" w:rsidRDefault="00F4216E" w:rsidP="00F4216E">
      <w:pPr>
        <w:numPr>
          <w:ilvl w:val="0"/>
          <w:numId w:val="44"/>
        </w:numPr>
        <w:spacing w:line="276" w:lineRule="auto"/>
        <w:ind w:left="426" w:hanging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9723ED">
        <w:rPr>
          <w:rFonts w:asciiTheme="minorHAnsi" w:hAnsiTheme="minorHAnsi" w:cs="Arial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:rsidR="00F4216E" w:rsidRPr="009723ED" w:rsidRDefault="00F4216E" w:rsidP="00F4216E">
      <w:pPr>
        <w:spacing w:line="276" w:lineRule="auto"/>
        <w:ind w:left="3540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proofErr w:type="spellStart"/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Zodp</w:t>
      </w:r>
      <w:proofErr w:type="spellEnd"/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.: rektor univerzity, dekani fakúlt</w:t>
      </w:r>
    </w:p>
    <w:p w:rsidR="00F4216E" w:rsidRPr="009723ED" w:rsidRDefault="00F4216E" w:rsidP="00F4216E">
      <w:pPr>
        <w:spacing w:line="276" w:lineRule="auto"/>
        <w:ind w:left="2832" w:firstLine="708"/>
        <w:jc w:val="right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>Termín: december 201</w:t>
      </w:r>
      <w:r w:rsidR="00963043"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Pr="009723ED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</w:p>
    <w:p w:rsidR="00F4216E" w:rsidRPr="00190400" w:rsidRDefault="00F4216E" w:rsidP="00F4216E">
      <w:pPr>
        <w:spacing w:line="276" w:lineRule="auto"/>
        <w:rPr>
          <w:rFonts w:asciiTheme="minorHAnsi" w:hAnsiTheme="minorHAnsi" w:cs="Arial"/>
          <w:i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551204" w:rsidRDefault="00551204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713927" w:rsidRDefault="00713927" w:rsidP="00645E61">
      <w:pPr>
        <w:spacing w:line="276" w:lineRule="auto"/>
        <w:ind w:firstLine="708"/>
        <w:rPr>
          <w:rFonts w:asciiTheme="minorHAnsi" w:hAnsiTheme="minorHAnsi" w:cs="Arial"/>
          <w:color w:val="FF0000"/>
          <w:sz w:val="22"/>
          <w:szCs w:val="22"/>
        </w:rPr>
      </w:pPr>
    </w:p>
    <w:p w:rsidR="00D93A9B" w:rsidRDefault="00D93A9B" w:rsidP="007138CB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</w:p>
    <w:p w:rsidR="00DA5853" w:rsidRPr="007138CB" w:rsidRDefault="008A0F1A" w:rsidP="007138CB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7138CB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color w:val="FF0000"/>
          <w:sz w:val="22"/>
          <w:szCs w:val="22"/>
        </w:rPr>
        <w:t xml:space="preserve">         </w:t>
      </w:r>
      <w:r w:rsidR="00DA5853" w:rsidRPr="007138CB">
        <w:rPr>
          <w:rFonts w:asciiTheme="minorHAnsi" w:hAnsiTheme="minorHAnsi" w:cs="Arial"/>
          <w:sz w:val="22"/>
          <w:szCs w:val="22"/>
        </w:rPr>
        <w:t xml:space="preserve">prof. doc. JUDr. Marek </w:t>
      </w:r>
      <w:proofErr w:type="spellStart"/>
      <w:r w:rsidR="00DA5853" w:rsidRPr="007138CB">
        <w:rPr>
          <w:rFonts w:asciiTheme="minorHAnsi" w:hAnsiTheme="minorHAnsi" w:cs="Arial"/>
          <w:sz w:val="22"/>
          <w:szCs w:val="22"/>
        </w:rPr>
        <w:t>Šmid</w:t>
      </w:r>
      <w:proofErr w:type="spellEnd"/>
      <w:r w:rsidR="00DA5853" w:rsidRPr="007138CB">
        <w:rPr>
          <w:rFonts w:asciiTheme="minorHAnsi" w:hAnsiTheme="minorHAnsi" w:cs="Arial"/>
          <w:sz w:val="22"/>
          <w:szCs w:val="22"/>
        </w:rPr>
        <w:t>, PhD.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                Ing. Milan </w:t>
      </w:r>
      <w:proofErr w:type="spellStart"/>
      <w:r w:rsidR="00D93A9B" w:rsidRPr="007138CB">
        <w:rPr>
          <w:rFonts w:asciiTheme="minorHAnsi" w:hAnsiTheme="minorHAnsi" w:cs="Arial"/>
          <w:sz w:val="22"/>
          <w:szCs w:val="22"/>
        </w:rPr>
        <w:t>Hornáček</w:t>
      </w:r>
      <w:proofErr w:type="spellEnd"/>
    </w:p>
    <w:p w:rsidR="001F5446" w:rsidRPr="007138CB" w:rsidRDefault="00DA5853" w:rsidP="005A0EE6">
      <w:pPr>
        <w:spacing w:line="276" w:lineRule="auto"/>
        <w:rPr>
          <w:rFonts w:asciiTheme="minorHAnsi" w:hAnsiTheme="minorHAnsi" w:cs="Arial"/>
          <w:color w:val="FF0000"/>
          <w:sz w:val="22"/>
          <w:szCs w:val="22"/>
        </w:rPr>
      </w:pPr>
      <w:r w:rsidRPr="007138CB">
        <w:rPr>
          <w:rFonts w:asciiTheme="minorHAnsi" w:hAnsiTheme="minorHAnsi" w:cs="Arial"/>
          <w:sz w:val="22"/>
          <w:szCs w:val="22"/>
        </w:rPr>
        <w:t xml:space="preserve">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</w:t>
      </w:r>
      <w:r w:rsidRPr="007138CB">
        <w:rPr>
          <w:rFonts w:asciiTheme="minorHAnsi" w:hAnsiTheme="minorHAnsi" w:cs="Arial"/>
          <w:sz w:val="22"/>
          <w:szCs w:val="22"/>
        </w:rPr>
        <w:t xml:space="preserve">  </w:t>
      </w:r>
      <w:r w:rsidR="008A0F1A" w:rsidRPr="007138CB">
        <w:rPr>
          <w:rFonts w:asciiTheme="minorHAnsi" w:hAnsiTheme="minorHAnsi" w:cs="Arial"/>
          <w:sz w:val="22"/>
          <w:szCs w:val="22"/>
        </w:rPr>
        <w:t xml:space="preserve">     </w:t>
      </w:r>
      <w:r w:rsidRPr="007138CB">
        <w:rPr>
          <w:rFonts w:asciiTheme="minorHAnsi" w:hAnsiTheme="minorHAnsi" w:cs="Arial"/>
          <w:sz w:val="22"/>
          <w:szCs w:val="22"/>
        </w:rPr>
        <w:t xml:space="preserve">rektor Trnavskej univerzity v Trnave  </w:t>
      </w:r>
      <w:r w:rsidR="00D93A9B" w:rsidRPr="007138CB">
        <w:rPr>
          <w:rFonts w:asciiTheme="minorHAnsi" w:hAnsiTheme="minorHAnsi" w:cs="Arial"/>
          <w:sz w:val="22"/>
          <w:szCs w:val="22"/>
        </w:rPr>
        <w:t xml:space="preserve">                         kvestor Trnavskej univerzity v Trnave</w:t>
      </w:r>
      <w:r w:rsidR="005256F6" w:rsidRPr="007138CB">
        <w:rPr>
          <w:rFonts w:asciiTheme="minorHAnsi" w:hAnsiTheme="minorHAnsi" w:cs="Arial"/>
          <w:sz w:val="22"/>
          <w:szCs w:val="22"/>
        </w:rPr>
        <w:t xml:space="preserve">   </w:t>
      </w:r>
    </w:p>
    <w:sectPr w:rsidR="001F5446" w:rsidRPr="007138CB" w:rsidSect="005525D7">
      <w:headerReference w:type="default" r:id="rId22"/>
      <w:footerReference w:type="even" r:id="rId23"/>
      <w:footerReference w:type="default" r:id="rId24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49" w:rsidRDefault="00794149">
      <w:r>
        <w:separator/>
      </w:r>
    </w:p>
  </w:endnote>
  <w:endnote w:type="continuationSeparator" w:id="0">
    <w:p w:rsidR="00794149" w:rsidRDefault="0079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49" w:rsidRDefault="00794149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4149" w:rsidRDefault="00794149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49" w:rsidRDefault="00794149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:rsidR="00794149" w:rsidRPr="00565C59" w:rsidRDefault="00794149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5190C1" wp14:editId="3B2AF117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4C0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>Výročná správa o hospodárení za rok 201</w:t>
    </w:r>
    <w:r>
      <w:rPr>
        <w:rFonts w:ascii="Calibri" w:hAnsi="Calibri"/>
        <w:i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49" w:rsidRDefault="00794149">
      <w:r>
        <w:separator/>
      </w:r>
    </w:p>
  </w:footnote>
  <w:footnote w:type="continuationSeparator" w:id="0">
    <w:p w:rsidR="00794149" w:rsidRDefault="00794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49" w:rsidRPr="00565C59" w:rsidRDefault="001D4E75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19.85pt;width:56.85pt;height:46.6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617079502" r:id="rId2"/>
      </w:object>
    </w:r>
    <w:r w:rsidR="00794149"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9F4AAD" wp14:editId="6000A1F1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D8F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="00794149" w:rsidRPr="002950C7">
      <w:rPr>
        <w:color w:val="FF0000"/>
        <w:sz w:val="24"/>
        <w:szCs w:val="24"/>
      </w:rPr>
      <w:t xml:space="preserve">    </w:t>
    </w:r>
    <w:r w:rsidR="00794149" w:rsidRPr="002950C7">
      <w:rPr>
        <w:i/>
        <w:color w:val="FF0000"/>
        <w:sz w:val="24"/>
        <w:szCs w:val="24"/>
      </w:rPr>
      <w:t xml:space="preserve">    </w:t>
    </w:r>
    <w:r w:rsidR="00794149"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3DA"/>
    <w:multiLevelType w:val="hybridMultilevel"/>
    <w:tmpl w:val="069C12C6"/>
    <w:lvl w:ilvl="0" w:tplc="3B9C29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1D6"/>
    <w:multiLevelType w:val="hybridMultilevel"/>
    <w:tmpl w:val="7C043582"/>
    <w:lvl w:ilvl="0" w:tplc="48A2D33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4502"/>
    <w:multiLevelType w:val="hybridMultilevel"/>
    <w:tmpl w:val="4034724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06C"/>
    <w:multiLevelType w:val="hybridMultilevel"/>
    <w:tmpl w:val="9990C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1651"/>
    <w:multiLevelType w:val="hybridMultilevel"/>
    <w:tmpl w:val="4B208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725D3"/>
    <w:multiLevelType w:val="multilevel"/>
    <w:tmpl w:val="08807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77F"/>
    <w:multiLevelType w:val="hybridMultilevel"/>
    <w:tmpl w:val="1A3CE820"/>
    <w:lvl w:ilvl="0" w:tplc="48F8A51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9B21CF"/>
    <w:multiLevelType w:val="hybridMultilevel"/>
    <w:tmpl w:val="91CE3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32A2D"/>
    <w:multiLevelType w:val="hybridMultilevel"/>
    <w:tmpl w:val="677A290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23F6D"/>
    <w:multiLevelType w:val="hybridMultilevel"/>
    <w:tmpl w:val="D6D8A38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E966C3"/>
    <w:multiLevelType w:val="hybridMultilevel"/>
    <w:tmpl w:val="000AFA04"/>
    <w:lvl w:ilvl="0" w:tplc="9B522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E0E29"/>
    <w:multiLevelType w:val="hybridMultilevel"/>
    <w:tmpl w:val="DD127E0A"/>
    <w:lvl w:ilvl="0" w:tplc="68587E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46E3B"/>
    <w:multiLevelType w:val="hybridMultilevel"/>
    <w:tmpl w:val="710AE5B8"/>
    <w:lvl w:ilvl="0" w:tplc="C3AC0EE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34742"/>
    <w:multiLevelType w:val="hybridMultilevel"/>
    <w:tmpl w:val="F2B84104"/>
    <w:lvl w:ilvl="0" w:tplc="82B0070E">
      <w:start w:val="1"/>
      <w:numFmt w:val="decimal"/>
      <w:lvlText w:val="%1."/>
      <w:lvlJc w:val="left"/>
      <w:pPr>
        <w:ind w:left="1430" w:hanging="360"/>
      </w:pPr>
    </w:lvl>
    <w:lvl w:ilvl="1" w:tplc="041B0019" w:tentative="1">
      <w:start w:val="1"/>
      <w:numFmt w:val="lowerLetter"/>
      <w:lvlText w:val="%2."/>
      <w:lvlJc w:val="left"/>
      <w:pPr>
        <w:ind w:left="2150" w:hanging="360"/>
      </w:pPr>
    </w:lvl>
    <w:lvl w:ilvl="2" w:tplc="041B001B" w:tentative="1">
      <w:start w:val="1"/>
      <w:numFmt w:val="lowerRoman"/>
      <w:lvlText w:val="%3."/>
      <w:lvlJc w:val="right"/>
      <w:pPr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34F96891"/>
    <w:multiLevelType w:val="hybridMultilevel"/>
    <w:tmpl w:val="84CC2216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38F55F99"/>
    <w:multiLevelType w:val="hybridMultilevel"/>
    <w:tmpl w:val="9D30A10C"/>
    <w:lvl w:ilvl="0" w:tplc="041B0017">
      <w:start w:val="1"/>
      <w:numFmt w:val="lowerLetter"/>
      <w:lvlText w:val="%1)"/>
      <w:lvlJc w:val="left"/>
      <w:pPr>
        <w:ind w:left="1698" w:hanging="360"/>
      </w:pPr>
    </w:lvl>
    <w:lvl w:ilvl="1" w:tplc="041B0019" w:tentative="1">
      <w:start w:val="1"/>
      <w:numFmt w:val="lowerLetter"/>
      <w:lvlText w:val="%2."/>
      <w:lvlJc w:val="left"/>
      <w:pPr>
        <w:ind w:left="2418" w:hanging="360"/>
      </w:pPr>
    </w:lvl>
    <w:lvl w:ilvl="2" w:tplc="041B001B" w:tentative="1">
      <w:start w:val="1"/>
      <w:numFmt w:val="lowerRoman"/>
      <w:lvlText w:val="%3."/>
      <w:lvlJc w:val="right"/>
      <w:pPr>
        <w:ind w:left="3138" w:hanging="180"/>
      </w:pPr>
    </w:lvl>
    <w:lvl w:ilvl="3" w:tplc="041B000F" w:tentative="1">
      <w:start w:val="1"/>
      <w:numFmt w:val="decimal"/>
      <w:lvlText w:val="%4."/>
      <w:lvlJc w:val="left"/>
      <w:pPr>
        <w:ind w:left="3858" w:hanging="360"/>
      </w:pPr>
    </w:lvl>
    <w:lvl w:ilvl="4" w:tplc="041B0019" w:tentative="1">
      <w:start w:val="1"/>
      <w:numFmt w:val="lowerLetter"/>
      <w:lvlText w:val="%5."/>
      <w:lvlJc w:val="left"/>
      <w:pPr>
        <w:ind w:left="4578" w:hanging="360"/>
      </w:pPr>
    </w:lvl>
    <w:lvl w:ilvl="5" w:tplc="041B001B" w:tentative="1">
      <w:start w:val="1"/>
      <w:numFmt w:val="lowerRoman"/>
      <w:lvlText w:val="%6."/>
      <w:lvlJc w:val="right"/>
      <w:pPr>
        <w:ind w:left="5298" w:hanging="180"/>
      </w:pPr>
    </w:lvl>
    <w:lvl w:ilvl="6" w:tplc="041B000F" w:tentative="1">
      <w:start w:val="1"/>
      <w:numFmt w:val="decimal"/>
      <w:lvlText w:val="%7."/>
      <w:lvlJc w:val="left"/>
      <w:pPr>
        <w:ind w:left="6018" w:hanging="360"/>
      </w:pPr>
    </w:lvl>
    <w:lvl w:ilvl="7" w:tplc="041B0019" w:tentative="1">
      <w:start w:val="1"/>
      <w:numFmt w:val="lowerLetter"/>
      <w:lvlText w:val="%8."/>
      <w:lvlJc w:val="left"/>
      <w:pPr>
        <w:ind w:left="6738" w:hanging="360"/>
      </w:pPr>
    </w:lvl>
    <w:lvl w:ilvl="8" w:tplc="041B001B" w:tentative="1">
      <w:start w:val="1"/>
      <w:numFmt w:val="lowerRoman"/>
      <w:lvlText w:val="%9."/>
      <w:lvlJc w:val="right"/>
      <w:pPr>
        <w:ind w:left="7458" w:hanging="180"/>
      </w:pPr>
    </w:lvl>
  </w:abstractNum>
  <w:abstractNum w:abstractNumId="21" w15:restartNumberingAfterBreak="0">
    <w:nsid w:val="390E1E7A"/>
    <w:multiLevelType w:val="hybridMultilevel"/>
    <w:tmpl w:val="C80CE9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C6AA6"/>
    <w:multiLevelType w:val="hybridMultilevel"/>
    <w:tmpl w:val="95F8AE38"/>
    <w:lvl w:ilvl="0" w:tplc="0C9AC0C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C5953C1"/>
    <w:multiLevelType w:val="hybridMultilevel"/>
    <w:tmpl w:val="0290A370"/>
    <w:lvl w:ilvl="0" w:tplc="7F8C8F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D12DDF"/>
    <w:multiLevelType w:val="hybridMultilevel"/>
    <w:tmpl w:val="46824938"/>
    <w:lvl w:ilvl="0" w:tplc="068EDF26">
      <w:start w:val="6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24845"/>
    <w:multiLevelType w:val="multilevel"/>
    <w:tmpl w:val="6A5013E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733D22"/>
    <w:multiLevelType w:val="hybridMultilevel"/>
    <w:tmpl w:val="1332C16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E561A"/>
    <w:multiLevelType w:val="hybridMultilevel"/>
    <w:tmpl w:val="0FF69496"/>
    <w:lvl w:ilvl="0" w:tplc="A39E7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85930"/>
    <w:multiLevelType w:val="hybridMultilevel"/>
    <w:tmpl w:val="5FFA60F8"/>
    <w:lvl w:ilvl="0" w:tplc="72A8F1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D6511"/>
    <w:multiLevelType w:val="hybridMultilevel"/>
    <w:tmpl w:val="41F4B8FA"/>
    <w:lvl w:ilvl="0" w:tplc="85ACBC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9B58A7"/>
    <w:multiLevelType w:val="hybridMultilevel"/>
    <w:tmpl w:val="85E4DB52"/>
    <w:lvl w:ilvl="0" w:tplc="041B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2" w15:restartNumberingAfterBreak="0">
    <w:nsid w:val="4F4D0AAB"/>
    <w:multiLevelType w:val="singleLevel"/>
    <w:tmpl w:val="6FB2626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277728A"/>
    <w:multiLevelType w:val="hybridMultilevel"/>
    <w:tmpl w:val="214E256A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4627E7B"/>
    <w:multiLevelType w:val="hybridMultilevel"/>
    <w:tmpl w:val="D34C95EC"/>
    <w:lvl w:ilvl="0" w:tplc="819A9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74452E"/>
    <w:multiLevelType w:val="hybridMultilevel"/>
    <w:tmpl w:val="6EE4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307DC"/>
    <w:multiLevelType w:val="hybridMultilevel"/>
    <w:tmpl w:val="FC5C1E96"/>
    <w:lvl w:ilvl="0" w:tplc="EC32F4E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6D711C2"/>
    <w:multiLevelType w:val="hybridMultilevel"/>
    <w:tmpl w:val="4BEC01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654C0"/>
    <w:multiLevelType w:val="hybridMultilevel"/>
    <w:tmpl w:val="06A08E88"/>
    <w:lvl w:ilvl="0" w:tplc="836A0166">
      <w:start w:val="2"/>
      <w:numFmt w:val="decimal"/>
      <w:lvlText w:val="%1.3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751CB"/>
    <w:multiLevelType w:val="hybridMultilevel"/>
    <w:tmpl w:val="E6FE64EE"/>
    <w:lvl w:ilvl="0" w:tplc="B000649A">
      <w:start w:val="6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911AF"/>
    <w:multiLevelType w:val="hybridMultilevel"/>
    <w:tmpl w:val="0FAC7C54"/>
    <w:lvl w:ilvl="0" w:tplc="5D481EC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D13BBC"/>
    <w:multiLevelType w:val="hybridMultilevel"/>
    <w:tmpl w:val="FFE6D6E2"/>
    <w:lvl w:ilvl="0" w:tplc="041B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43" w15:restartNumberingAfterBreak="0">
    <w:nsid w:val="7C604A0A"/>
    <w:multiLevelType w:val="hybridMultilevel"/>
    <w:tmpl w:val="8D30FC96"/>
    <w:lvl w:ilvl="0" w:tplc="471C6F9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1"/>
  </w:num>
  <w:num w:numId="4">
    <w:abstractNumId w:val="18"/>
  </w:num>
  <w:num w:numId="5">
    <w:abstractNumId w:val="28"/>
  </w:num>
  <w:num w:numId="6">
    <w:abstractNumId w:val="36"/>
  </w:num>
  <w:num w:numId="7">
    <w:abstractNumId w:val="26"/>
  </w:num>
  <w:num w:numId="8">
    <w:abstractNumId w:val="39"/>
  </w:num>
  <w:num w:numId="9">
    <w:abstractNumId w:val="16"/>
  </w:num>
  <w:num w:numId="10">
    <w:abstractNumId w:val="21"/>
  </w:num>
  <w:num w:numId="11">
    <w:abstractNumId w:val="13"/>
  </w:num>
  <w:num w:numId="12">
    <w:abstractNumId w:val="22"/>
  </w:num>
  <w:num w:numId="13">
    <w:abstractNumId w:val="37"/>
  </w:num>
  <w:num w:numId="14">
    <w:abstractNumId w:val="5"/>
  </w:num>
  <w:num w:numId="15">
    <w:abstractNumId w:val="12"/>
  </w:num>
  <w:num w:numId="16">
    <w:abstractNumId w:val="38"/>
  </w:num>
  <w:num w:numId="17">
    <w:abstractNumId w:val="17"/>
  </w:num>
  <w:num w:numId="18">
    <w:abstractNumId w:val="11"/>
  </w:num>
  <w:num w:numId="19">
    <w:abstractNumId w:val="30"/>
  </w:num>
  <w:num w:numId="20">
    <w:abstractNumId w:val="1"/>
  </w:num>
  <w:num w:numId="21">
    <w:abstractNumId w:val="15"/>
  </w:num>
  <w:num w:numId="22">
    <w:abstractNumId w:val="32"/>
  </w:num>
  <w:num w:numId="23">
    <w:abstractNumId w:val="33"/>
  </w:num>
  <w:num w:numId="24">
    <w:abstractNumId w:val="43"/>
  </w:num>
  <w:num w:numId="25">
    <w:abstractNumId w:val="29"/>
  </w:num>
  <w:num w:numId="26">
    <w:abstractNumId w:val="3"/>
  </w:num>
  <w:num w:numId="27">
    <w:abstractNumId w:val="25"/>
  </w:num>
  <w:num w:numId="28">
    <w:abstractNumId w:val="27"/>
  </w:num>
  <w:num w:numId="29">
    <w:abstractNumId w:val="9"/>
  </w:num>
  <w:num w:numId="30">
    <w:abstractNumId w:val="23"/>
  </w:num>
  <w:num w:numId="31">
    <w:abstractNumId w:val="8"/>
  </w:num>
  <w:num w:numId="32">
    <w:abstractNumId w:val="19"/>
  </w:num>
  <w:num w:numId="33">
    <w:abstractNumId w:val="42"/>
  </w:num>
  <w:num w:numId="34">
    <w:abstractNumId w:val="35"/>
  </w:num>
  <w:num w:numId="35">
    <w:abstractNumId w:val="40"/>
  </w:num>
  <w:num w:numId="36">
    <w:abstractNumId w:val="24"/>
  </w:num>
  <w:num w:numId="37">
    <w:abstractNumId w:val="2"/>
  </w:num>
  <w:num w:numId="38">
    <w:abstractNumId w:val="20"/>
  </w:num>
  <w:num w:numId="39">
    <w:abstractNumId w:val="34"/>
  </w:num>
  <w:num w:numId="40">
    <w:abstractNumId w:val="14"/>
  </w:num>
  <w:num w:numId="41">
    <w:abstractNumId w:val="4"/>
  </w:num>
  <w:num w:numId="42">
    <w:abstractNumId w:val="0"/>
  </w:num>
  <w:num w:numId="43">
    <w:abstractNumId w:val="31"/>
  </w:num>
  <w:num w:numId="4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401E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27FF"/>
    <w:rsid w:val="00013382"/>
    <w:rsid w:val="00013DC0"/>
    <w:rsid w:val="00014FF8"/>
    <w:rsid w:val="00015040"/>
    <w:rsid w:val="0001578C"/>
    <w:rsid w:val="00015AE0"/>
    <w:rsid w:val="000162C5"/>
    <w:rsid w:val="0001710C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DF7"/>
    <w:rsid w:val="00024FA6"/>
    <w:rsid w:val="00025517"/>
    <w:rsid w:val="0002579F"/>
    <w:rsid w:val="00025F13"/>
    <w:rsid w:val="000260A2"/>
    <w:rsid w:val="00027368"/>
    <w:rsid w:val="00027C96"/>
    <w:rsid w:val="00027D13"/>
    <w:rsid w:val="00027FBD"/>
    <w:rsid w:val="000306E8"/>
    <w:rsid w:val="000312E5"/>
    <w:rsid w:val="00031891"/>
    <w:rsid w:val="00031D57"/>
    <w:rsid w:val="00032226"/>
    <w:rsid w:val="0003276D"/>
    <w:rsid w:val="00032D44"/>
    <w:rsid w:val="00032DFE"/>
    <w:rsid w:val="00033688"/>
    <w:rsid w:val="00034D25"/>
    <w:rsid w:val="000354B0"/>
    <w:rsid w:val="000363EC"/>
    <w:rsid w:val="00036B73"/>
    <w:rsid w:val="00036B79"/>
    <w:rsid w:val="00036EFE"/>
    <w:rsid w:val="000371C9"/>
    <w:rsid w:val="00037CF0"/>
    <w:rsid w:val="0004003D"/>
    <w:rsid w:val="0004007A"/>
    <w:rsid w:val="000405E3"/>
    <w:rsid w:val="00040ABC"/>
    <w:rsid w:val="00040AE2"/>
    <w:rsid w:val="0004150B"/>
    <w:rsid w:val="000415A2"/>
    <w:rsid w:val="000416A1"/>
    <w:rsid w:val="000417BA"/>
    <w:rsid w:val="000417D9"/>
    <w:rsid w:val="00042413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6B4"/>
    <w:rsid w:val="00051799"/>
    <w:rsid w:val="00051FE5"/>
    <w:rsid w:val="00052138"/>
    <w:rsid w:val="00052205"/>
    <w:rsid w:val="0005239A"/>
    <w:rsid w:val="00052FC3"/>
    <w:rsid w:val="000551EA"/>
    <w:rsid w:val="000557D8"/>
    <w:rsid w:val="00055B12"/>
    <w:rsid w:val="00055C9B"/>
    <w:rsid w:val="00055EC0"/>
    <w:rsid w:val="00056D79"/>
    <w:rsid w:val="000571A1"/>
    <w:rsid w:val="00057331"/>
    <w:rsid w:val="00057857"/>
    <w:rsid w:val="000579AE"/>
    <w:rsid w:val="00057D7A"/>
    <w:rsid w:val="000600C3"/>
    <w:rsid w:val="000602FF"/>
    <w:rsid w:val="00060452"/>
    <w:rsid w:val="00060881"/>
    <w:rsid w:val="000609A7"/>
    <w:rsid w:val="000614BB"/>
    <w:rsid w:val="000624E4"/>
    <w:rsid w:val="00062DDD"/>
    <w:rsid w:val="000631F1"/>
    <w:rsid w:val="0006339A"/>
    <w:rsid w:val="000634E8"/>
    <w:rsid w:val="00063743"/>
    <w:rsid w:val="00063786"/>
    <w:rsid w:val="00063811"/>
    <w:rsid w:val="00063C46"/>
    <w:rsid w:val="00064393"/>
    <w:rsid w:val="00064B25"/>
    <w:rsid w:val="00064B4E"/>
    <w:rsid w:val="00064C42"/>
    <w:rsid w:val="00065B67"/>
    <w:rsid w:val="00066CE5"/>
    <w:rsid w:val="00070891"/>
    <w:rsid w:val="00070A2F"/>
    <w:rsid w:val="0007131D"/>
    <w:rsid w:val="00071B25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AD9"/>
    <w:rsid w:val="00075D17"/>
    <w:rsid w:val="00075DF4"/>
    <w:rsid w:val="000761C3"/>
    <w:rsid w:val="000766BF"/>
    <w:rsid w:val="0007690E"/>
    <w:rsid w:val="00076F2C"/>
    <w:rsid w:val="00076F7C"/>
    <w:rsid w:val="000777F6"/>
    <w:rsid w:val="00077BD1"/>
    <w:rsid w:val="00080220"/>
    <w:rsid w:val="0008036A"/>
    <w:rsid w:val="000806EB"/>
    <w:rsid w:val="00080D3C"/>
    <w:rsid w:val="00081200"/>
    <w:rsid w:val="00081EF5"/>
    <w:rsid w:val="00082274"/>
    <w:rsid w:val="00082888"/>
    <w:rsid w:val="0008314C"/>
    <w:rsid w:val="0008338A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7255"/>
    <w:rsid w:val="00097319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DC0"/>
    <w:rsid w:val="000A637D"/>
    <w:rsid w:val="000A7B0D"/>
    <w:rsid w:val="000A7C73"/>
    <w:rsid w:val="000B01FB"/>
    <w:rsid w:val="000B096E"/>
    <w:rsid w:val="000B0B24"/>
    <w:rsid w:val="000B11E2"/>
    <w:rsid w:val="000B1359"/>
    <w:rsid w:val="000B21DB"/>
    <w:rsid w:val="000B2DDA"/>
    <w:rsid w:val="000B35AD"/>
    <w:rsid w:val="000B3D7E"/>
    <w:rsid w:val="000B3E35"/>
    <w:rsid w:val="000B46E5"/>
    <w:rsid w:val="000B4705"/>
    <w:rsid w:val="000B4F05"/>
    <w:rsid w:val="000B5C2D"/>
    <w:rsid w:val="000B6045"/>
    <w:rsid w:val="000B632A"/>
    <w:rsid w:val="000B6A88"/>
    <w:rsid w:val="000B7F93"/>
    <w:rsid w:val="000C085F"/>
    <w:rsid w:val="000C0A58"/>
    <w:rsid w:val="000C1580"/>
    <w:rsid w:val="000C218E"/>
    <w:rsid w:val="000C21C0"/>
    <w:rsid w:val="000C28F5"/>
    <w:rsid w:val="000C355C"/>
    <w:rsid w:val="000C3CEA"/>
    <w:rsid w:val="000C3FC0"/>
    <w:rsid w:val="000C4B24"/>
    <w:rsid w:val="000C4E38"/>
    <w:rsid w:val="000C4FE4"/>
    <w:rsid w:val="000C55AB"/>
    <w:rsid w:val="000C5739"/>
    <w:rsid w:val="000C5BF3"/>
    <w:rsid w:val="000C5CA0"/>
    <w:rsid w:val="000C664E"/>
    <w:rsid w:val="000C6A52"/>
    <w:rsid w:val="000C6E9C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2C17"/>
    <w:rsid w:val="000E34EC"/>
    <w:rsid w:val="000E3F09"/>
    <w:rsid w:val="000E3F36"/>
    <w:rsid w:val="000E44DF"/>
    <w:rsid w:val="000E4D61"/>
    <w:rsid w:val="000E4E92"/>
    <w:rsid w:val="000E4EEA"/>
    <w:rsid w:val="000E512F"/>
    <w:rsid w:val="000E51B0"/>
    <w:rsid w:val="000E69F3"/>
    <w:rsid w:val="000E6ABD"/>
    <w:rsid w:val="000E7C10"/>
    <w:rsid w:val="000E7C75"/>
    <w:rsid w:val="000F1266"/>
    <w:rsid w:val="000F1599"/>
    <w:rsid w:val="000F1876"/>
    <w:rsid w:val="000F2015"/>
    <w:rsid w:val="000F2386"/>
    <w:rsid w:val="000F3003"/>
    <w:rsid w:val="000F33FF"/>
    <w:rsid w:val="000F4F8A"/>
    <w:rsid w:val="000F6889"/>
    <w:rsid w:val="000F6B89"/>
    <w:rsid w:val="000F6C92"/>
    <w:rsid w:val="000F6E7E"/>
    <w:rsid w:val="000F74A5"/>
    <w:rsid w:val="000F7C57"/>
    <w:rsid w:val="001005C5"/>
    <w:rsid w:val="00100B9E"/>
    <w:rsid w:val="0010196B"/>
    <w:rsid w:val="00101A7C"/>
    <w:rsid w:val="00101AFE"/>
    <w:rsid w:val="00101FC9"/>
    <w:rsid w:val="001026C7"/>
    <w:rsid w:val="00102F8A"/>
    <w:rsid w:val="00103AAD"/>
    <w:rsid w:val="001055D0"/>
    <w:rsid w:val="001057A3"/>
    <w:rsid w:val="00106384"/>
    <w:rsid w:val="0010721C"/>
    <w:rsid w:val="00107712"/>
    <w:rsid w:val="00107A04"/>
    <w:rsid w:val="00107B11"/>
    <w:rsid w:val="001102E3"/>
    <w:rsid w:val="00110752"/>
    <w:rsid w:val="00111767"/>
    <w:rsid w:val="00112016"/>
    <w:rsid w:val="00112B9A"/>
    <w:rsid w:val="00113F12"/>
    <w:rsid w:val="0011412A"/>
    <w:rsid w:val="00114371"/>
    <w:rsid w:val="00114518"/>
    <w:rsid w:val="00114DCD"/>
    <w:rsid w:val="00115C4E"/>
    <w:rsid w:val="00116437"/>
    <w:rsid w:val="001164E3"/>
    <w:rsid w:val="00116F7F"/>
    <w:rsid w:val="0011717B"/>
    <w:rsid w:val="00120509"/>
    <w:rsid w:val="0012055A"/>
    <w:rsid w:val="001218E3"/>
    <w:rsid w:val="00122434"/>
    <w:rsid w:val="00122670"/>
    <w:rsid w:val="00122DE4"/>
    <w:rsid w:val="00123063"/>
    <w:rsid w:val="00123473"/>
    <w:rsid w:val="00123EEC"/>
    <w:rsid w:val="001247E0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3F8E"/>
    <w:rsid w:val="0013491F"/>
    <w:rsid w:val="0013595B"/>
    <w:rsid w:val="001369F7"/>
    <w:rsid w:val="00136B98"/>
    <w:rsid w:val="00137E6F"/>
    <w:rsid w:val="00140C1C"/>
    <w:rsid w:val="00140F26"/>
    <w:rsid w:val="00141637"/>
    <w:rsid w:val="00141C60"/>
    <w:rsid w:val="001426CA"/>
    <w:rsid w:val="00143180"/>
    <w:rsid w:val="00143568"/>
    <w:rsid w:val="00143B39"/>
    <w:rsid w:val="0014437B"/>
    <w:rsid w:val="00144628"/>
    <w:rsid w:val="00145977"/>
    <w:rsid w:val="00145E0B"/>
    <w:rsid w:val="00145EDF"/>
    <w:rsid w:val="001463AB"/>
    <w:rsid w:val="001464E2"/>
    <w:rsid w:val="00147515"/>
    <w:rsid w:val="00147534"/>
    <w:rsid w:val="001502DF"/>
    <w:rsid w:val="00150577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E5"/>
    <w:rsid w:val="001679EE"/>
    <w:rsid w:val="00167A01"/>
    <w:rsid w:val="00170686"/>
    <w:rsid w:val="00171043"/>
    <w:rsid w:val="00171A38"/>
    <w:rsid w:val="001730BE"/>
    <w:rsid w:val="00173311"/>
    <w:rsid w:val="00174C13"/>
    <w:rsid w:val="00174CFC"/>
    <w:rsid w:val="001750B5"/>
    <w:rsid w:val="00175ECF"/>
    <w:rsid w:val="00176442"/>
    <w:rsid w:val="0017684D"/>
    <w:rsid w:val="001774B4"/>
    <w:rsid w:val="0017765B"/>
    <w:rsid w:val="001802FA"/>
    <w:rsid w:val="001805DE"/>
    <w:rsid w:val="0018065F"/>
    <w:rsid w:val="00181616"/>
    <w:rsid w:val="00181DD3"/>
    <w:rsid w:val="0018206C"/>
    <w:rsid w:val="00182F1B"/>
    <w:rsid w:val="001830EB"/>
    <w:rsid w:val="001830ED"/>
    <w:rsid w:val="00184BF7"/>
    <w:rsid w:val="00184D4D"/>
    <w:rsid w:val="00185050"/>
    <w:rsid w:val="00185549"/>
    <w:rsid w:val="00186522"/>
    <w:rsid w:val="0019033A"/>
    <w:rsid w:val="00190400"/>
    <w:rsid w:val="00191292"/>
    <w:rsid w:val="001916FF"/>
    <w:rsid w:val="00191812"/>
    <w:rsid w:val="001919B8"/>
    <w:rsid w:val="00191F15"/>
    <w:rsid w:val="00192847"/>
    <w:rsid w:val="00192AA1"/>
    <w:rsid w:val="00192DD8"/>
    <w:rsid w:val="00192FDE"/>
    <w:rsid w:val="00192FF2"/>
    <w:rsid w:val="001934E6"/>
    <w:rsid w:val="0019362E"/>
    <w:rsid w:val="001936B4"/>
    <w:rsid w:val="00193B85"/>
    <w:rsid w:val="00193D9F"/>
    <w:rsid w:val="001941C7"/>
    <w:rsid w:val="0019427D"/>
    <w:rsid w:val="00194496"/>
    <w:rsid w:val="001945CD"/>
    <w:rsid w:val="00194E14"/>
    <w:rsid w:val="00195053"/>
    <w:rsid w:val="00195196"/>
    <w:rsid w:val="00195678"/>
    <w:rsid w:val="00195E20"/>
    <w:rsid w:val="001963DC"/>
    <w:rsid w:val="00196548"/>
    <w:rsid w:val="001973C8"/>
    <w:rsid w:val="00197C35"/>
    <w:rsid w:val="001A01AF"/>
    <w:rsid w:val="001A05F1"/>
    <w:rsid w:val="001A0F4B"/>
    <w:rsid w:val="001A1D5F"/>
    <w:rsid w:val="001A21B9"/>
    <w:rsid w:val="001A2234"/>
    <w:rsid w:val="001A2595"/>
    <w:rsid w:val="001A2597"/>
    <w:rsid w:val="001A28EA"/>
    <w:rsid w:val="001A2CD6"/>
    <w:rsid w:val="001A4020"/>
    <w:rsid w:val="001A45F6"/>
    <w:rsid w:val="001A4778"/>
    <w:rsid w:val="001A4BC6"/>
    <w:rsid w:val="001A4FFC"/>
    <w:rsid w:val="001A5231"/>
    <w:rsid w:val="001A546A"/>
    <w:rsid w:val="001A5CD9"/>
    <w:rsid w:val="001A6661"/>
    <w:rsid w:val="001A6EA6"/>
    <w:rsid w:val="001A6FA9"/>
    <w:rsid w:val="001B02AB"/>
    <w:rsid w:val="001B1302"/>
    <w:rsid w:val="001B13A6"/>
    <w:rsid w:val="001B1A90"/>
    <w:rsid w:val="001B2176"/>
    <w:rsid w:val="001B23D6"/>
    <w:rsid w:val="001B2410"/>
    <w:rsid w:val="001B2616"/>
    <w:rsid w:val="001B28E9"/>
    <w:rsid w:val="001B37AD"/>
    <w:rsid w:val="001B38AC"/>
    <w:rsid w:val="001B487E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834"/>
    <w:rsid w:val="001C2708"/>
    <w:rsid w:val="001C30DD"/>
    <w:rsid w:val="001C38CE"/>
    <w:rsid w:val="001C392F"/>
    <w:rsid w:val="001C41CF"/>
    <w:rsid w:val="001C4AAC"/>
    <w:rsid w:val="001C4D7F"/>
    <w:rsid w:val="001C4E57"/>
    <w:rsid w:val="001C5703"/>
    <w:rsid w:val="001C5942"/>
    <w:rsid w:val="001C5FE1"/>
    <w:rsid w:val="001C66BC"/>
    <w:rsid w:val="001C68C5"/>
    <w:rsid w:val="001C6E4E"/>
    <w:rsid w:val="001C6E62"/>
    <w:rsid w:val="001D0242"/>
    <w:rsid w:val="001D1ADE"/>
    <w:rsid w:val="001D1D14"/>
    <w:rsid w:val="001D2109"/>
    <w:rsid w:val="001D26C4"/>
    <w:rsid w:val="001D320E"/>
    <w:rsid w:val="001D3BA9"/>
    <w:rsid w:val="001D3C90"/>
    <w:rsid w:val="001D3E32"/>
    <w:rsid w:val="001D4424"/>
    <w:rsid w:val="001D4E75"/>
    <w:rsid w:val="001D742F"/>
    <w:rsid w:val="001D78B7"/>
    <w:rsid w:val="001D7944"/>
    <w:rsid w:val="001E14FF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601D"/>
    <w:rsid w:val="001E654B"/>
    <w:rsid w:val="001E681D"/>
    <w:rsid w:val="001E729E"/>
    <w:rsid w:val="001E7967"/>
    <w:rsid w:val="001E7F5A"/>
    <w:rsid w:val="001F0BFD"/>
    <w:rsid w:val="001F0D36"/>
    <w:rsid w:val="001F0D91"/>
    <w:rsid w:val="001F1502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D9A"/>
    <w:rsid w:val="001F50C6"/>
    <w:rsid w:val="001F5446"/>
    <w:rsid w:val="001F63FE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3C6A"/>
    <w:rsid w:val="00204204"/>
    <w:rsid w:val="002043A9"/>
    <w:rsid w:val="002045F7"/>
    <w:rsid w:val="00204AD7"/>
    <w:rsid w:val="002055DB"/>
    <w:rsid w:val="002056D6"/>
    <w:rsid w:val="002061E2"/>
    <w:rsid w:val="00206302"/>
    <w:rsid w:val="00207C56"/>
    <w:rsid w:val="0021022A"/>
    <w:rsid w:val="00211AF4"/>
    <w:rsid w:val="002129E5"/>
    <w:rsid w:val="0021384B"/>
    <w:rsid w:val="00214012"/>
    <w:rsid w:val="0021427C"/>
    <w:rsid w:val="002143B6"/>
    <w:rsid w:val="00214979"/>
    <w:rsid w:val="00214B86"/>
    <w:rsid w:val="00214B8E"/>
    <w:rsid w:val="002152B2"/>
    <w:rsid w:val="002154E3"/>
    <w:rsid w:val="002154F6"/>
    <w:rsid w:val="00215712"/>
    <w:rsid w:val="002157E4"/>
    <w:rsid w:val="0021603F"/>
    <w:rsid w:val="0021689C"/>
    <w:rsid w:val="00217515"/>
    <w:rsid w:val="00217682"/>
    <w:rsid w:val="00217AB6"/>
    <w:rsid w:val="0022174C"/>
    <w:rsid w:val="00221E48"/>
    <w:rsid w:val="002226F2"/>
    <w:rsid w:val="00223DAD"/>
    <w:rsid w:val="00223DE3"/>
    <w:rsid w:val="00223F03"/>
    <w:rsid w:val="00224390"/>
    <w:rsid w:val="0022477B"/>
    <w:rsid w:val="00224B2B"/>
    <w:rsid w:val="002254F6"/>
    <w:rsid w:val="002269F0"/>
    <w:rsid w:val="00226F84"/>
    <w:rsid w:val="00227659"/>
    <w:rsid w:val="002279D4"/>
    <w:rsid w:val="002308D6"/>
    <w:rsid w:val="00230EEB"/>
    <w:rsid w:val="00232FAD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405B6"/>
    <w:rsid w:val="002414BF"/>
    <w:rsid w:val="002416BF"/>
    <w:rsid w:val="00241A7A"/>
    <w:rsid w:val="00241B2D"/>
    <w:rsid w:val="00242423"/>
    <w:rsid w:val="002424D4"/>
    <w:rsid w:val="00243285"/>
    <w:rsid w:val="00243F1D"/>
    <w:rsid w:val="0024563A"/>
    <w:rsid w:val="00245B86"/>
    <w:rsid w:val="0024691D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5B5"/>
    <w:rsid w:val="00253892"/>
    <w:rsid w:val="00253BA2"/>
    <w:rsid w:val="0025520A"/>
    <w:rsid w:val="00255C25"/>
    <w:rsid w:val="00256189"/>
    <w:rsid w:val="00257113"/>
    <w:rsid w:val="00257749"/>
    <w:rsid w:val="00257C42"/>
    <w:rsid w:val="0026148F"/>
    <w:rsid w:val="00262205"/>
    <w:rsid w:val="00262D6D"/>
    <w:rsid w:val="002636FA"/>
    <w:rsid w:val="002647E0"/>
    <w:rsid w:val="00264805"/>
    <w:rsid w:val="00264F36"/>
    <w:rsid w:val="0026550C"/>
    <w:rsid w:val="00265F69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E3A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904CB"/>
    <w:rsid w:val="00291D19"/>
    <w:rsid w:val="002924CE"/>
    <w:rsid w:val="002927E4"/>
    <w:rsid w:val="00293541"/>
    <w:rsid w:val="002947ED"/>
    <w:rsid w:val="00294987"/>
    <w:rsid w:val="00294F93"/>
    <w:rsid w:val="002950C7"/>
    <w:rsid w:val="002968D3"/>
    <w:rsid w:val="00297195"/>
    <w:rsid w:val="00297A50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23D"/>
    <w:rsid w:val="002A67BB"/>
    <w:rsid w:val="002A6F92"/>
    <w:rsid w:val="002A722B"/>
    <w:rsid w:val="002A723E"/>
    <w:rsid w:val="002B08BA"/>
    <w:rsid w:val="002B0994"/>
    <w:rsid w:val="002B0A05"/>
    <w:rsid w:val="002B109C"/>
    <w:rsid w:val="002B1316"/>
    <w:rsid w:val="002B1335"/>
    <w:rsid w:val="002B2111"/>
    <w:rsid w:val="002B224B"/>
    <w:rsid w:val="002B2443"/>
    <w:rsid w:val="002B2813"/>
    <w:rsid w:val="002B2DFB"/>
    <w:rsid w:val="002B3AB2"/>
    <w:rsid w:val="002B4549"/>
    <w:rsid w:val="002B45F9"/>
    <w:rsid w:val="002B532D"/>
    <w:rsid w:val="002B6B40"/>
    <w:rsid w:val="002B711A"/>
    <w:rsid w:val="002B7A2F"/>
    <w:rsid w:val="002C0766"/>
    <w:rsid w:val="002C0B82"/>
    <w:rsid w:val="002C1622"/>
    <w:rsid w:val="002C19C0"/>
    <w:rsid w:val="002C1E6A"/>
    <w:rsid w:val="002C239D"/>
    <w:rsid w:val="002C24E5"/>
    <w:rsid w:val="002C268C"/>
    <w:rsid w:val="002C2BDD"/>
    <w:rsid w:val="002C2C4D"/>
    <w:rsid w:val="002C34A5"/>
    <w:rsid w:val="002C486D"/>
    <w:rsid w:val="002C4AEA"/>
    <w:rsid w:val="002C5572"/>
    <w:rsid w:val="002C5927"/>
    <w:rsid w:val="002C5B09"/>
    <w:rsid w:val="002C6D37"/>
    <w:rsid w:val="002C6EB3"/>
    <w:rsid w:val="002C7594"/>
    <w:rsid w:val="002D0016"/>
    <w:rsid w:val="002D03AD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6DE"/>
    <w:rsid w:val="002D4E22"/>
    <w:rsid w:val="002D5CF3"/>
    <w:rsid w:val="002D64D6"/>
    <w:rsid w:val="002D7223"/>
    <w:rsid w:val="002D79EA"/>
    <w:rsid w:val="002E1A67"/>
    <w:rsid w:val="002E1BE9"/>
    <w:rsid w:val="002E315C"/>
    <w:rsid w:val="002E38F5"/>
    <w:rsid w:val="002E4743"/>
    <w:rsid w:val="002E605B"/>
    <w:rsid w:val="002E73A8"/>
    <w:rsid w:val="002E78A9"/>
    <w:rsid w:val="002E7974"/>
    <w:rsid w:val="002F0F99"/>
    <w:rsid w:val="002F1274"/>
    <w:rsid w:val="002F1654"/>
    <w:rsid w:val="002F2565"/>
    <w:rsid w:val="002F2CFA"/>
    <w:rsid w:val="002F334B"/>
    <w:rsid w:val="002F372F"/>
    <w:rsid w:val="002F37C9"/>
    <w:rsid w:val="002F37E6"/>
    <w:rsid w:val="002F3E00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1D2E"/>
    <w:rsid w:val="0030227B"/>
    <w:rsid w:val="003033E9"/>
    <w:rsid w:val="00303447"/>
    <w:rsid w:val="00303760"/>
    <w:rsid w:val="00303F1E"/>
    <w:rsid w:val="00304E12"/>
    <w:rsid w:val="00305D1A"/>
    <w:rsid w:val="003062C6"/>
    <w:rsid w:val="00306BD7"/>
    <w:rsid w:val="00306CE6"/>
    <w:rsid w:val="00306D1D"/>
    <w:rsid w:val="00307495"/>
    <w:rsid w:val="003102F6"/>
    <w:rsid w:val="00310A0E"/>
    <w:rsid w:val="0031152A"/>
    <w:rsid w:val="003116ED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CEF"/>
    <w:rsid w:val="0031552B"/>
    <w:rsid w:val="00315D22"/>
    <w:rsid w:val="00317897"/>
    <w:rsid w:val="003179E6"/>
    <w:rsid w:val="0032044E"/>
    <w:rsid w:val="003206ED"/>
    <w:rsid w:val="003207E0"/>
    <w:rsid w:val="003227F9"/>
    <w:rsid w:val="003232A9"/>
    <w:rsid w:val="00323713"/>
    <w:rsid w:val="00324079"/>
    <w:rsid w:val="003241CC"/>
    <w:rsid w:val="00324607"/>
    <w:rsid w:val="00324C4F"/>
    <w:rsid w:val="00324DF1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54E"/>
    <w:rsid w:val="00335F3F"/>
    <w:rsid w:val="00336130"/>
    <w:rsid w:val="00336855"/>
    <w:rsid w:val="003374E5"/>
    <w:rsid w:val="0033753D"/>
    <w:rsid w:val="003377AE"/>
    <w:rsid w:val="00340696"/>
    <w:rsid w:val="00341870"/>
    <w:rsid w:val="0034211E"/>
    <w:rsid w:val="0034268D"/>
    <w:rsid w:val="00343024"/>
    <w:rsid w:val="003437F6"/>
    <w:rsid w:val="00343AB9"/>
    <w:rsid w:val="00343AEC"/>
    <w:rsid w:val="00344871"/>
    <w:rsid w:val="00344E35"/>
    <w:rsid w:val="00344E54"/>
    <w:rsid w:val="0034512B"/>
    <w:rsid w:val="0034517D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3014"/>
    <w:rsid w:val="00353568"/>
    <w:rsid w:val="00354135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2EF3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1AD3"/>
    <w:rsid w:val="00372067"/>
    <w:rsid w:val="003721A5"/>
    <w:rsid w:val="00372B76"/>
    <w:rsid w:val="00373360"/>
    <w:rsid w:val="00373416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82D16"/>
    <w:rsid w:val="003834CC"/>
    <w:rsid w:val="003835AB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3224"/>
    <w:rsid w:val="003933B0"/>
    <w:rsid w:val="00393F65"/>
    <w:rsid w:val="00393F72"/>
    <w:rsid w:val="00394FD5"/>
    <w:rsid w:val="003951CC"/>
    <w:rsid w:val="00396200"/>
    <w:rsid w:val="0039748E"/>
    <w:rsid w:val="00397876"/>
    <w:rsid w:val="003A11B0"/>
    <w:rsid w:val="003A1C07"/>
    <w:rsid w:val="003A257B"/>
    <w:rsid w:val="003A2750"/>
    <w:rsid w:val="003A2899"/>
    <w:rsid w:val="003A2A35"/>
    <w:rsid w:val="003A45DC"/>
    <w:rsid w:val="003A4BE9"/>
    <w:rsid w:val="003A5810"/>
    <w:rsid w:val="003A66DC"/>
    <w:rsid w:val="003A6751"/>
    <w:rsid w:val="003A67D4"/>
    <w:rsid w:val="003A6FBE"/>
    <w:rsid w:val="003A71E7"/>
    <w:rsid w:val="003A77FE"/>
    <w:rsid w:val="003A7CEB"/>
    <w:rsid w:val="003A7E81"/>
    <w:rsid w:val="003B05CE"/>
    <w:rsid w:val="003B12B2"/>
    <w:rsid w:val="003B1784"/>
    <w:rsid w:val="003B1AA6"/>
    <w:rsid w:val="003B30FF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14DB"/>
    <w:rsid w:val="003C15BD"/>
    <w:rsid w:val="003C1D58"/>
    <w:rsid w:val="003C1DA1"/>
    <w:rsid w:val="003C1F73"/>
    <w:rsid w:val="003C2286"/>
    <w:rsid w:val="003C23B6"/>
    <w:rsid w:val="003C24A9"/>
    <w:rsid w:val="003C293E"/>
    <w:rsid w:val="003C29A8"/>
    <w:rsid w:val="003C40F2"/>
    <w:rsid w:val="003C4256"/>
    <w:rsid w:val="003C4354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E0592"/>
    <w:rsid w:val="003E0831"/>
    <w:rsid w:val="003E1619"/>
    <w:rsid w:val="003E1621"/>
    <w:rsid w:val="003E17CF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83E"/>
    <w:rsid w:val="003F192C"/>
    <w:rsid w:val="003F1CE8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200"/>
    <w:rsid w:val="004043ED"/>
    <w:rsid w:val="0040473A"/>
    <w:rsid w:val="00404C9E"/>
    <w:rsid w:val="00405BA9"/>
    <w:rsid w:val="0040622C"/>
    <w:rsid w:val="00407D72"/>
    <w:rsid w:val="00407E1E"/>
    <w:rsid w:val="00410166"/>
    <w:rsid w:val="004110BB"/>
    <w:rsid w:val="00411664"/>
    <w:rsid w:val="00411FA6"/>
    <w:rsid w:val="00413AA6"/>
    <w:rsid w:val="00413DA8"/>
    <w:rsid w:val="00414035"/>
    <w:rsid w:val="004140B1"/>
    <w:rsid w:val="00414782"/>
    <w:rsid w:val="00414B23"/>
    <w:rsid w:val="00415202"/>
    <w:rsid w:val="0041528D"/>
    <w:rsid w:val="0041598E"/>
    <w:rsid w:val="00415BFE"/>
    <w:rsid w:val="00415F33"/>
    <w:rsid w:val="00416357"/>
    <w:rsid w:val="004168DF"/>
    <w:rsid w:val="00417AD5"/>
    <w:rsid w:val="00420046"/>
    <w:rsid w:val="004206E4"/>
    <w:rsid w:val="004212B5"/>
    <w:rsid w:val="004214A0"/>
    <w:rsid w:val="00422727"/>
    <w:rsid w:val="00422C89"/>
    <w:rsid w:val="00423624"/>
    <w:rsid w:val="00423FA0"/>
    <w:rsid w:val="00424A14"/>
    <w:rsid w:val="004251C6"/>
    <w:rsid w:val="004252DD"/>
    <w:rsid w:val="004255CA"/>
    <w:rsid w:val="0042575C"/>
    <w:rsid w:val="00425968"/>
    <w:rsid w:val="00426849"/>
    <w:rsid w:val="004275DA"/>
    <w:rsid w:val="004276B9"/>
    <w:rsid w:val="00430519"/>
    <w:rsid w:val="00430673"/>
    <w:rsid w:val="00430D31"/>
    <w:rsid w:val="0043101C"/>
    <w:rsid w:val="004313A2"/>
    <w:rsid w:val="00431E16"/>
    <w:rsid w:val="004323AE"/>
    <w:rsid w:val="00432795"/>
    <w:rsid w:val="00433053"/>
    <w:rsid w:val="004346FA"/>
    <w:rsid w:val="0043573A"/>
    <w:rsid w:val="00435976"/>
    <w:rsid w:val="004366FF"/>
    <w:rsid w:val="00436761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BB8"/>
    <w:rsid w:val="00441F0D"/>
    <w:rsid w:val="00441FA1"/>
    <w:rsid w:val="0044304F"/>
    <w:rsid w:val="00443F24"/>
    <w:rsid w:val="0044404B"/>
    <w:rsid w:val="0044522C"/>
    <w:rsid w:val="004452E0"/>
    <w:rsid w:val="00445985"/>
    <w:rsid w:val="00445C83"/>
    <w:rsid w:val="00446F80"/>
    <w:rsid w:val="00447336"/>
    <w:rsid w:val="004506E2"/>
    <w:rsid w:val="00450A94"/>
    <w:rsid w:val="00450C69"/>
    <w:rsid w:val="00450CD2"/>
    <w:rsid w:val="00450F0D"/>
    <w:rsid w:val="00451322"/>
    <w:rsid w:val="00451C7A"/>
    <w:rsid w:val="00451F22"/>
    <w:rsid w:val="00451F73"/>
    <w:rsid w:val="004520CC"/>
    <w:rsid w:val="004523BC"/>
    <w:rsid w:val="004526CE"/>
    <w:rsid w:val="00453B99"/>
    <w:rsid w:val="00454899"/>
    <w:rsid w:val="004554D2"/>
    <w:rsid w:val="004567B9"/>
    <w:rsid w:val="00456B01"/>
    <w:rsid w:val="00456DEB"/>
    <w:rsid w:val="00457139"/>
    <w:rsid w:val="004573C0"/>
    <w:rsid w:val="004578F2"/>
    <w:rsid w:val="00460040"/>
    <w:rsid w:val="004609D9"/>
    <w:rsid w:val="00460ACB"/>
    <w:rsid w:val="00460B1B"/>
    <w:rsid w:val="00460C4C"/>
    <w:rsid w:val="00460C72"/>
    <w:rsid w:val="00461690"/>
    <w:rsid w:val="004622A9"/>
    <w:rsid w:val="004622B0"/>
    <w:rsid w:val="004628A3"/>
    <w:rsid w:val="0046357A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86B"/>
    <w:rsid w:val="004710B0"/>
    <w:rsid w:val="00471E29"/>
    <w:rsid w:val="0047237C"/>
    <w:rsid w:val="00472DE0"/>
    <w:rsid w:val="00472E1A"/>
    <w:rsid w:val="00473CB0"/>
    <w:rsid w:val="0047453D"/>
    <w:rsid w:val="0047558F"/>
    <w:rsid w:val="00475C3C"/>
    <w:rsid w:val="00475E26"/>
    <w:rsid w:val="00476081"/>
    <w:rsid w:val="0047653B"/>
    <w:rsid w:val="00476760"/>
    <w:rsid w:val="00477232"/>
    <w:rsid w:val="00477963"/>
    <w:rsid w:val="00477F66"/>
    <w:rsid w:val="004802F1"/>
    <w:rsid w:val="00480E25"/>
    <w:rsid w:val="00481392"/>
    <w:rsid w:val="00482016"/>
    <w:rsid w:val="004829E9"/>
    <w:rsid w:val="00482B01"/>
    <w:rsid w:val="004836D9"/>
    <w:rsid w:val="0048382F"/>
    <w:rsid w:val="00483C2F"/>
    <w:rsid w:val="0048446F"/>
    <w:rsid w:val="004845BD"/>
    <w:rsid w:val="004847C2"/>
    <w:rsid w:val="00484802"/>
    <w:rsid w:val="0048511B"/>
    <w:rsid w:val="0048601B"/>
    <w:rsid w:val="0048687E"/>
    <w:rsid w:val="00486E7E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7113"/>
    <w:rsid w:val="00497866"/>
    <w:rsid w:val="004A034C"/>
    <w:rsid w:val="004A061E"/>
    <w:rsid w:val="004A0C98"/>
    <w:rsid w:val="004A0C9B"/>
    <w:rsid w:val="004A1165"/>
    <w:rsid w:val="004A1A29"/>
    <w:rsid w:val="004A20AB"/>
    <w:rsid w:val="004A3063"/>
    <w:rsid w:val="004A402B"/>
    <w:rsid w:val="004A418A"/>
    <w:rsid w:val="004A4BC4"/>
    <w:rsid w:val="004A5024"/>
    <w:rsid w:val="004A626E"/>
    <w:rsid w:val="004A647C"/>
    <w:rsid w:val="004A6A18"/>
    <w:rsid w:val="004A6DD4"/>
    <w:rsid w:val="004B024B"/>
    <w:rsid w:val="004B0AA0"/>
    <w:rsid w:val="004B0AAA"/>
    <w:rsid w:val="004B0CE3"/>
    <w:rsid w:val="004B135D"/>
    <w:rsid w:val="004B159E"/>
    <w:rsid w:val="004B17EA"/>
    <w:rsid w:val="004B1D0A"/>
    <w:rsid w:val="004B201B"/>
    <w:rsid w:val="004B336E"/>
    <w:rsid w:val="004B3EB8"/>
    <w:rsid w:val="004B4749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58D0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857"/>
    <w:rsid w:val="004E132B"/>
    <w:rsid w:val="004E1907"/>
    <w:rsid w:val="004E1956"/>
    <w:rsid w:val="004E21C4"/>
    <w:rsid w:val="004E273E"/>
    <w:rsid w:val="004E28E6"/>
    <w:rsid w:val="004E298B"/>
    <w:rsid w:val="004E299E"/>
    <w:rsid w:val="004E2D0B"/>
    <w:rsid w:val="004E33A2"/>
    <w:rsid w:val="004E3465"/>
    <w:rsid w:val="004E35EF"/>
    <w:rsid w:val="004E381B"/>
    <w:rsid w:val="004E392E"/>
    <w:rsid w:val="004E483B"/>
    <w:rsid w:val="004E4B77"/>
    <w:rsid w:val="004E4D36"/>
    <w:rsid w:val="004E5513"/>
    <w:rsid w:val="004E5610"/>
    <w:rsid w:val="004E5CF2"/>
    <w:rsid w:val="004E7492"/>
    <w:rsid w:val="004E7C08"/>
    <w:rsid w:val="004F06BE"/>
    <w:rsid w:val="004F0839"/>
    <w:rsid w:val="004F0B8D"/>
    <w:rsid w:val="004F0C2F"/>
    <w:rsid w:val="004F0D2C"/>
    <w:rsid w:val="004F21ED"/>
    <w:rsid w:val="004F2AA6"/>
    <w:rsid w:val="004F2D51"/>
    <w:rsid w:val="004F3D79"/>
    <w:rsid w:val="004F45EC"/>
    <w:rsid w:val="004F5596"/>
    <w:rsid w:val="004F5985"/>
    <w:rsid w:val="004F6D83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1101F"/>
    <w:rsid w:val="00511226"/>
    <w:rsid w:val="00511584"/>
    <w:rsid w:val="005128FF"/>
    <w:rsid w:val="00512A2A"/>
    <w:rsid w:val="00512ABB"/>
    <w:rsid w:val="00512F0D"/>
    <w:rsid w:val="00513897"/>
    <w:rsid w:val="00513913"/>
    <w:rsid w:val="00514748"/>
    <w:rsid w:val="005147C0"/>
    <w:rsid w:val="00514BAF"/>
    <w:rsid w:val="0051517F"/>
    <w:rsid w:val="0051529E"/>
    <w:rsid w:val="00515695"/>
    <w:rsid w:val="0051666C"/>
    <w:rsid w:val="00516EC3"/>
    <w:rsid w:val="00517094"/>
    <w:rsid w:val="005173EC"/>
    <w:rsid w:val="00517B44"/>
    <w:rsid w:val="00517BCE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F6"/>
    <w:rsid w:val="005260AE"/>
    <w:rsid w:val="00526629"/>
    <w:rsid w:val="00526F8C"/>
    <w:rsid w:val="005270B0"/>
    <w:rsid w:val="00527F8B"/>
    <w:rsid w:val="00530122"/>
    <w:rsid w:val="00530813"/>
    <w:rsid w:val="0053153D"/>
    <w:rsid w:val="0053177E"/>
    <w:rsid w:val="00531DC3"/>
    <w:rsid w:val="00532438"/>
    <w:rsid w:val="00533958"/>
    <w:rsid w:val="00533980"/>
    <w:rsid w:val="00533ADE"/>
    <w:rsid w:val="0053424E"/>
    <w:rsid w:val="005354EE"/>
    <w:rsid w:val="00536677"/>
    <w:rsid w:val="00537089"/>
    <w:rsid w:val="005370D3"/>
    <w:rsid w:val="005404EA"/>
    <w:rsid w:val="0054080B"/>
    <w:rsid w:val="00545993"/>
    <w:rsid w:val="005500BC"/>
    <w:rsid w:val="00551204"/>
    <w:rsid w:val="0055121B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2A3"/>
    <w:rsid w:val="0055628E"/>
    <w:rsid w:val="00557530"/>
    <w:rsid w:val="00557E43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74EB"/>
    <w:rsid w:val="005675D4"/>
    <w:rsid w:val="00567FDE"/>
    <w:rsid w:val="00571120"/>
    <w:rsid w:val="00571412"/>
    <w:rsid w:val="00571EB2"/>
    <w:rsid w:val="00572591"/>
    <w:rsid w:val="005728E0"/>
    <w:rsid w:val="00573A55"/>
    <w:rsid w:val="00574AEA"/>
    <w:rsid w:val="005756EC"/>
    <w:rsid w:val="0057612C"/>
    <w:rsid w:val="00576BA0"/>
    <w:rsid w:val="0057761D"/>
    <w:rsid w:val="00577FD0"/>
    <w:rsid w:val="00581223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7307"/>
    <w:rsid w:val="00587754"/>
    <w:rsid w:val="0059028D"/>
    <w:rsid w:val="0059065F"/>
    <w:rsid w:val="00590B7C"/>
    <w:rsid w:val="00591553"/>
    <w:rsid w:val="0059231B"/>
    <w:rsid w:val="0059256A"/>
    <w:rsid w:val="005932A9"/>
    <w:rsid w:val="00593357"/>
    <w:rsid w:val="00594CBE"/>
    <w:rsid w:val="00594F1F"/>
    <w:rsid w:val="0059507A"/>
    <w:rsid w:val="0059526B"/>
    <w:rsid w:val="005964C1"/>
    <w:rsid w:val="005964EC"/>
    <w:rsid w:val="00596614"/>
    <w:rsid w:val="00596970"/>
    <w:rsid w:val="00596F4D"/>
    <w:rsid w:val="00597FAC"/>
    <w:rsid w:val="005A0CF9"/>
    <w:rsid w:val="005A0EE6"/>
    <w:rsid w:val="005A1604"/>
    <w:rsid w:val="005A1AF1"/>
    <w:rsid w:val="005A1E42"/>
    <w:rsid w:val="005A2677"/>
    <w:rsid w:val="005A2B48"/>
    <w:rsid w:val="005A2D3F"/>
    <w:rsid w:val="005A3484"/>
    <w:rsid w:val="005A3B36"/>
    <w:rsid w:val="005A4533"/>
    <w:rsid w:val="005A543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45E1"/>
    <w:rsid w:val="005B5584"/>
    <w:rsid w:val="005B56A5"/>
    <w:rsid w:val="005B65F1"/>
    <w:rsid w:val="005B69DF"/>
    <w:rsid w:val="005B7301"/>
    <w:rsid w:val="005B7F11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3046"/>
    <w:rsid w:val="005C3CE2"/>
    <w:rsid w:val="005C4209"/>
    <w:rsid w:val="005C46FB"/>
    <w:rsid w:val="005C4A0E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6CDA"/>
    <w:rsid w:val="005D6F9E"/>
    <w:rsid w:val="005D6FD4"/>
    <w:rsid w:val="005D7121"/>
    <w:rsid w:val="005D7DAF"/>
    <w:rsid w:val="005E057A"/>
    <w:rsid w:val="005E0909"/>
    <w:rsid w:val="005E0981"/>
    <w:rsid w:val="005E0E76"/>
    <w:rsid w:val="005E1768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D0C"/>
    <w:rsid w:val="005E7A22"/>
    <w:rsid w:val="005E7EB8"/>
    <w:rsid w:val="005F0A19"/>
    <w:rsid w:val="005F10A6"/>
    <w:rsid w:val="005F21CC"/>
    <w:rsid w:val="005F30C7"/>
    <w:rsid w:val="005F3D45"/>
    <w:rsid w:val="005F46FD"/>
    <w:rsid w:val="005F5335"/>
    <w:rsid w:val="005F5CE3"/>
    <w:rsid w:val="005F6067"/>
    <w:rsid w:val="005F6734"/>
    <w:rsid w:val="005F6E37"/>
    <w:rsid w:val="005F7555"/>
    <w:rsid w:val="005F7FBA"/>
    <w:rsid w:val="006002A5"/>
    <w:rsid w:val="00600370"/>
    <w:rsid w:val="00600663"/>
    <w:rsid w:val="006007E6"/>
    <w:rsid w:val="00600907"/>
    <w:rsid w:val="00600D63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7C86"/>
    <w:rsid w:val="00610234"/>
    <w:rsid w:val="00610659"/>
    <w:rsid w:val="00610EC1"/>
    <w:rsid w:val="006110F6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F61"/>
    <w:rsid w:val="006201D0"/>
    <w:rsid w:val="00620B74"/>
    <w:rsid w:val="006211F5"/>
    <w:rsid w:val="0062125D"/>
    <w:rsid w:val="00621952"/>
    <w:rsid w:val="006222D9"/>
    <w:rsid w:val="006226C8"/>
    <w:rsid w:val="00623578"/>
    <w:rsid w:val="00624CFC"/>
    <w:rsid w:val="00624D00"/>
    <w:rsid w:val="006256A7"/>
    <w:rsid w:val="006263AC"/>
    <w:rsid w:val="00627309"/>
    <w:rsid w:val="00627A48"/>
    <w:rsid w:val="00627BBA"/>
    <w:rsid w:val="00631578"/>
    <w:rsid w:val="00631B62"/>
    <w:rsid w:val="0063232D"/>
    <w:rsid w:val="00632FA3"/>
    <w:rsid w:val="006332E4"/>
    <w:rsid w:val="006335FB"/>
    <w:rsid w:val="00633631"/>
    <w:rsid w:val="00633BD8"/>
    <w:rsid w:val="0063462B"/>
    <w:rsid w:val="0063539F"/>
    <w:rsid w:val="00635647"/>
    <w:rsid w:val="00635898"/>
    <w:rsid w:val="0063624E"/>
    <w:rsid w:val="00636975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703"/>
    <w:rsid w:val="00645D8B"/>
    <w:rsid w:val="00645E61"/>
    <w:rsid w:val="0064674A"/>
    <w:rsid w:val="00646A59"/>
    <w:rsid w:val="00647508"/>
    <w:rsid w:val="00647A12"/>
    <w:rsid w:val="00647E39"/>
    <w:rsid w:val="0065093C"/>
    <w:rsid w:val="00651AA1"/>
    <w:rsid w:val="00651D62"/>
    <w:rsid w:val="00652BE5"/>
    <w:rsid w:val="00653629"/>
    <w:rsid w:val="00653BA6"/>
    <w:rsid w:val="00653C8B"/>
    <w:rsid w:val="00653F3A"/>
    <w:rsid w:val="006541A6"/>
    <w:rsid w:val="00654619"/>
    <w:rsid w:val="0065596E"/>
    <w:rsid w:val="00655DD9"/>
    <w:rsid w:val="00656842"/>
    <w:rsid w:val="00656934"/>
    <w:rsid w:val="00657BCD"/>
    <w:rsid w:val="00657C31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DC6"/>
    <w:rsid w:val="00670C9D"/>
    <w:rsid w:val="00671D1C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F53"/>
    <w:rsid w:val="0068110E"/>
    <w:rsid w:val="0068114B"/>
    <w:rsid w:val="00682B8D"/>
    <w:rsid w:val="00682BE1"/>
    <w:rsid w:val="00682F74"/>
    <w:rsid w:val="006832F1"/>
    <w:rsid w:val="00683B3C"/>
    <w:rsid w:val="00683DB7"/>
    <w:rsid w:val="006849E3"/>
    <w:rsid w:val="0068532C"/>
    <w:rsid w:val="00685F4C"/>
    <w:rsid w:val="00686681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B"/>
    <w:rsid w:val="006A530F"/>
    <w:rsid w:val="006A53A7"/>
    <w:rsid w:val="006A540D"/>
    <w:rsid w:val="006A5D37"/>
    <w:rsid w:val="006A5D9D"/>
    <w:rsid w:val="006A6A5E"/>
    <w:rsid w:val="006A6FEF"/>
    <w:rsid w:val="006A7144"/>
    <w:rsid w:val="006A7CCD"/>
    <w:rsid w:val="006B0000"/>
    <w:rsid w:val="006B11AE"/>
    <w:rsid w:val="006B153E"/>
    <w:rsid w:val="006B20B3"/>
    <w:rsid w:val="006B31DA"/>
    <w:rsid w:val="006B38D9"/>
    <w:rsid w:val="006B3C2E"/>
    <w:rsid w:val="006B3EC5"/>
    <w:rsid w:val="006B4009"/>
    <w:rsid w:val="006B42DA"/>
    <w:rsid w:val="006B43CA"/>
    <w:rsid w:val="006B51EE"/>
    <w:rsid w:val="006B5768"/>
    <w:rsid w:val="006B58DA"/>
    <w:rsid w:val="006B598E"/>
    <w:rsid w:val="006B5D05"/>
    <w:rsid w:val="006B6B96"/>
    <w:rsid w:val="006B7035"/>
    <w:rsid w:val="006C03D4"/>
    <w:rsid w:val="006C0F3F"/>
    <w:rsid w:val="006C11FB"/>
    <w:rsid w:val="006C1651"/>
    <w:rsid w:val="006C18BD"/>
    <w:rsid w:val="006C1A69"/>
    <w:rsid w:val="006C1AE9"/>
    <w:rsid w:val="006C1BFF"/>
    <w:rsid w:val="006C252F"/>
    <w:rsid w:val="006C3878"/>
    <w:rsid w:val="006C38B4"/>
    <w:rsid w:val="006C3BA6"/>
    <w:rsid w:val="006C3CFB"/>
    <w:rsid w:val="006C42B3"/>
    <w:rsid w:val="006C49B4"/>
    <w:rsid w:val="006C52E5"/>
    <w:rsid w:val="006C56C2"/>
    <w:rsid w:val="006C5C44"/>
    <w:rsid w:val="006C5E04"/>
    <w:rsid w:val="006C623C"/>
    <w:rsid w:val="006C6396"/>
    <w:rsid w:val="006C7077"/>
    <w:rsid w:val="006C7847"/>
    <w:rsid w:val="006D0EF8"/>
    <w:rsid w:val="006D19EA"/>
    <w:rsid w:val="006D1ABF"/>
    <w:rsid w:val="006D1D20"/>
    <w:rsid w:val="006D2A6D"/>
    <w:rsid w:val="006D44EF"/>
    <w:rsid w:val="006D4B29"/>
    <w:rsid w:val="006D6B8C"/>
    <w:rsid w:val="006D6CEE"/>
    <w:rsid w:val="006E03EE"/>
    <w:rsid w:val="006E07E8"/>
    <w:rsid w:val="006E1E93"/>
    <w:rsid w:val="006E2812"/>
    <w:rsid w:val="006E2E25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7DE"/>
    <w:rsid w:val="006F37F7"/>
    <w:rsid w:val="006F39FE"/>
    <w:rsid w:val="006F4691"/>
    <w:rsid w:val="006F49C4"/>
    <w:rsid w:val="006F4A78"/>
    <w:rsid w:val="006F4A9C"/>
    <w:rsid w:val="006F5AF7"/>
    <w:rsid w:val="006F66EE"/>
    <w:rsid w:val="006F69A4"/>
    <w:rsid w:val="006F6A6A"/>
    <w:rsid w:val="006F7012"/>
    <w:rsid w:val="006F78A9"/>
    <w:rsid w:val="006F7C52"/>
    <w:rsid w:val="00700622"/>
    <w:rsid w:val="0070146E"/>
    <w:rsid w:val="00701B02"/>
    <w:rsid w:val="00701B7B"/>
    <w:rsid w:val="007026E5"/>
    <w:rsid w:val="00702783"/>
    <w:rsid w:val="00703315"/>
    <w:rsid w:val="00703863"/>
    <w:rsid w:val="0070397C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10A8"/>
    <w:rsid w:val="00711408"/>
    <w:rsid w:val="00712D03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16CD"/>
    <w:rsid w:val="00721E42"/>
    <w:rsid w:val="00721F7C"/>
    <w:rsid w:val="00722A49"/>
    <w:rsid w:val="007230EC"/>
    <w:rsid w:val="007237C5"/>
    <w:rsid w:val="007245F8"/>
    <w:rsid w:val="0072468D"/>
    <w:rsid w:val="00724697"/>
    <w:rsid w:val="00724FB2"/>
    <w:rsid w:val="00725771"/>
    <w:rsid w:val="00725EBC"/>
    <w:rsid w:val="007270BC"/>
    <w:rsid w:val="007275C4"/>
    <w:rsid w:val="007303CE"/>
    <w:rsid w:val="00730B06"/>
    <w:rsid w:val="00730F3A"/>
    <w:rsid w:val="00731DEE"/>
    <w:rsid w:val="007333DA"/>
    <w:rsid w:val="0073394C"/>
    <w:rsid w:val="007345D0"/>
    <w:rsid w:val="00734857"/>
    <w:rsid w:val="00734D18"/>
    <w:rsid w:val="0073548B"/>
    <w:rsid w:val="0073606F"/>
    <w:rsid w:val="00737D27"/>
    <w:rsid w:val="00740276"/>
    <w:rsid w:val="007408E7"/>
    <w:rsid w:val="00740FC4"/>
    <w:rsid w:val="007413AD"/>
    <w:rsid w:val="00742777"/>
    <w:rsid w:val="0074280C"/>
    <w:rsid w:val="00742892"/>
    <w:rsid w:val="0074301A"/>
    <w:rsid w:val="00743C03"/>
    <w:rsid w:val="00744910"/>
    <w:rsid w:val="00744E28"/>
    <w:rsid w:val="00745E02"/>
    <w:rsid w:val="0074634B"/>
    <w:rsid w:val="007466B1"/>
    <w:rsid w:val="00746789"/>
    <w:rsid w:val="007468D9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22FD"/>
    <w:rsid w:val="00752D9D"/>
    <w:rsid w:val="00752E9F"/>
    <w:rsid w:val="00754240"/>
    <w:rsid w:val="00754902"/>
    <w:rsid w:val="007568AE"/>
    <w:rsid w:val="007570CA"/>
    <w:rsid w:val="00757573"/>
    <w:rsid w:val="00757B1C"/>
    <w:rsid w:val="00757E6E"/>
    <w:rsid w:val="00757F51"/>
    <w:rsid w:val="00761503"/>
    <w:rsid w:val="00761DE0"/>
    <w:rsid w:val="00762FF1"/>
    <w:rsid w:val="00763037"/>
    <w:rsid w:val="00763676"/>
    <w:rsid w:val="00763807"/>
    <w:rsid w:val="00763B2B"/>
    <w:rsid w:val="00763B2F"/>
    <w:rsid w:val="00765BAB"/>
    <w:rsid w:val="007666F3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A73"/>
    <w:rsid w:val="007802FF"/>
    <w:rsid w:val="00780B47"/>
    <w:rsid w:val="00781CB4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4B5"/>
    <w:rsid w:val="007954B1"/>
    <w:rsid w:val="007958C4"/>
    <w:rsid w:val="00795C09"/>
    <w:rsid w:val="007963B5"/>
    <w:rsid w:val="00796EE9"/>
    <w:rsid w:val="00797417"/>
    <w:rsid w:val="007A0781"/>
    <w:rsid w:val="007A0A3A"/>
    <w:rsid w:val="007A0E0E"/>
    <w:rsid w:val="007A15A7"/>
    <w:rsid w:val="007A1AF2"/>
    <w:rsid w:val="007A1D9D"/>
    <w:rsid w:val="007A5000"/>
    <w:rsid w:val="007A527F"/>
    <w:rsid w:val="007A528E"/>
    <w:rsid w:val="007A540E"/>
    <w:rsid w:val="007A5D21"/>
    <w:rsid w:val="007A62AF"/>
    <w:rsid w:val="007A6BFE"/>
    <w:rsid w:val="007A731B"/>
    <w:rsid w:val="007A76FE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B8"/>
    <w:rsid w:val="007B6042"/>
    <w:rsid w:val="007B622F"/>
    <w:rsid w:val="007B63D9"/>
    <w:rsid w:val="007B6978"/>
    <w:rsid w:val="007B6B9D"/>
    <w:rsid w:val="007B752D"/>
    <w:rsid w:val="007B75A1"/>
    <w:rsid w:val="007B7B43"/>
    <w:rsid w:val="007C0130"/>
    <w:rsid w:val="007C051C"/>
    <w:rsid w:val="007C09EE"/>
    <w:rsid w:val="007C16B6"/>
    <w:rsid w:val="007C18D3"/>
    <w:rsid w:val="007C1A5F"/>
    <w:rsid w:val="007C1C33"/>
    <w:rsid w:val="007C1EE8"/>
    <w:rsid w:val="007C30A7"/>
    <w:rsid w:val="007C326E"/>
    <w:rsid w:val="007C3869"/>
    <w:rsid w:val="007C3985"/>
    <w:rsid w:val="007C3A33"/>
    <w:rsid w:val="007C43DD"/>
    <w:rsid w:val="007C5064"/>
    <w:rsid w:val="007C56E9"/>
    <w:rsid w:val="007C5A76"/>
    <w:rsid w:val="007C6E03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E36"/>
    <w:rsid w:val="007E1CF2"/>
    <w:rsid w:val="007E2FAB"/>
    <w:rsid w:val="007E3286"/>
    <w:rsid w:val="007E3BA0"/>
    <w:rsid w:val="007E51F8"/>
    <w:rsid w:val="007E7069"/>
    <w:rsid w:val="007E741C"/>
    <w:rsid w:val="007F0784"/>
    <w:rsid w:val="007F0C07"/>
    <w:rsid w:val="007F1CF6"/>
    <w:rsid w:val="007F225A"/>
    <w:rsid w:val="007F258E"/>
    <w:rsid w:val="007F264B"/>
    <w:rsid w:val="007F2F0B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A05"/>
    <w:rsid w:val="008057C5"/>
    <w:rsid w:val="00805CED"/>
    <w:rsid w:val="00806179"/>
    <w:rsid w:val="008071FE"/>
    <w:rsid w:val="0080741E"/>
    <w:rsid w:val="00807FBB"/>
    <w:rsid w:val="008107CF"/>
    <w:rsid w:val="00811867"/>
    <w:rsid w:val="00811E1C"/>
    <w:rsid w:val="00811E70"/>
    <w:rsid w:val="00812265"/>
    <w:rsid w:val="0081259E"/>
    <w:rsid w:val="00812C00"/>
    <w:rsid w:val="00813180"/>
    <w:rsid w:val="00813556"/>
    <w:rsid w:val="0081377D"/>
    <w:rsid w:val="00814150"/>
    <w:rsid w:val="0081417B"/>
    <w:rsid w:val="00814403"/>
    <w:rsid w:val="00815515"/>
    <w:rsid w:val="008170B3"/>
    <w:rsid w:val="00817513"/>
    <w:rsid w:val="008175D6"/>
    <w:rsid w:val="00817F31"/>
    <w:rsid w:val="0082088B"/>
    <w:rsid w:val="00820D10"/>
    <w:rsid w:val="00820D80"/>
    <w:rsid w:val="008212A3"/>
    <w:rsid w:val="0082176E"/>
    <w:rsid w:val="00821925"/>
    <w:rsid w:val="008219FC"/>
    <w:rsid w:val="008233F4"/>
    <w:rsid w:val="00823A69"/>
    <w:rsid w:val="008243F9"/>
    <w:rsid w:val="008247B7"/>
    <w:rsid w:val="008250AF"/>
    <w:rsid w:val="00825C89"/>
    <w:rsid w:val="008275B1"/>
    <w:rsid w:val="008278C7"/>
    <w:rsid w:val="008310C7"/>
    <w:rsid w:val="00831F43"/>
    <w:rsid w:val="00832F8C"/>
    <w:rsid w:val="0083330C"/>
    <w:rsid w:val="008335BD"/>
    <w:rsid w:val="0083389D"/>
    <w:rsid w:val="00833B14"/>
    <w:rsid w:val="00834A9C"/>
    <w:rsid w:val="00834CD2"/>
    <w:rsid w:val="0083500D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AC"/>
    <w:rsid w:val="00840FD1"/>
    <w:rsid w:val="0084118A"/>
    <w:rsid w:val="008423C2"/>
    <w:rsid w:val="0084270D"/>
    <w:rsid w:val="008429A1"/>
    <w:rsid w:val="00843724"/>
    <w:rsid w:val="00843B1F"/>
    <w:rsid w:val="00844B35"/>
    <w:rsid w:val="00844BEF"/>
    <w:rsid w:val="00844D45"/>
    <w:rsid w:val="00846394"/>
    <w:rsid w:val="008467D5"/>
    <w:rsid w:val="00846807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5F2"/>
    <w:rsid w:val="00855903"/>
    <w:rsid w:val="00855925"/>
    <w:rsid w:val="00855FB2"/>
    <w:rsid w:val="00856ADB"/>
    <w:rsid w:val="00856B29"/>
    <w:rsid w:val="00856C25"/>
    <w:rsid w:val="00856CD6"/>
    <w:rsid w:val="00857EEA"/>
    <w:rsid w:val="008606DA"/>
    <w:rsid w:val="0086132C"/>
    <w:rsid w:val="008623C4"/>
    <w:rsid w:val="008626E1"/>
    <w:rsid w:val="00862D64"/>
    <w:rsid w:val="00863004"/>
    <w:rsid w:val="00863026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8FB"/>
    <w:rsid w:val="00867909"/>
    <w:rsid w:val="00867E4A"/>
    <w:rsid w:val="00867ED4"/>
    <w:rsid w:val="008700AF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707"/>
    <w:rsid w:val="008737D7"/>
    <w:rsid w:val="008748D3"/>
    <w:rsid w:val="008749A8"/>
    <w:rsid w:val="00874F99"/>
    <w:rsid w:val="00875D0C"/>
    <w:rsid w:val="00876A15"/>
    <w:rsid w:val="00876F4B"/>
    <w:rsid w:val="00877991"/>
    <w:rsid w:val="00877B99"/>
    <w:rsid w:val="00877CC1"/>
    <w:rsid w:val="00877EDB"/>
    <w:rsid w:val="00880BF0"/>
    <w:rsid w:val="00881A5E"/>
    <w:rsid w:val="00881B2C"/>
    <w:rsid w:val="008820D5"/>
    <w:rsid w:val="00883107"/>
    <w:rsid w:val="00883621"/>
    <w:rsid w:val="00883F25"/>
    <w:rsid w:val="008848F5"/>
    <w:rsid w:val="0088530E"/>
    <w:rsid w:val="00885B06"/>
    <w:rsid w:val="00886A0B"/>
    <w:rsid w:val="00887022"/>
    <w:rsid w:val="00887499"/>
    <w:rsid w:val="008878AA"/>
    <w:rsid w:val="00890390"/>
    <w:rsid w:val="0089070A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DB"/>
    <w:rsid w:val="008A3EDD"/>
    <w:rsid w:val="008A42AB"/>
    <w:rsid w:val="008A4620"/>
    <w:rsid w:val="008A523D"/>
    <w:rsid w:val="008A5722"/>
    <w:rsid w:val="008A5C46"/>
    <w:rsid w:val="008A5F04"/>
    <w:rsid w:val="008A6674"/>
    <w:rsid w:val="008A6731"/>
    <w:rsid w:val="008A6748"/>
    <w:rsid w:val="008A7597"/>
    <w:rsid w:val="008A7756"/>
    <w:rsid w:val="008B0237"/>
    <w:rsid w:val="008B0725"/>
    <w:rsid w:val="008B0C71"/>
    <w:rsid w:val="008B2160"/>
    <w:rsid w:val="008B24E5"/>
    <w:rsid w:val="008B2C2B"/>
    <w:rsid w:val="008B2C67"/>
    <w:rsid w:val="008B36E1"/>
    <w:rsid w:val="008B38D8"/>
    <w:rsid w:val="008B52BF"/>
    <w:rsid w:val="008B5663"/>
    <w:rsid w:val="008B581F"/>
    <w:rsid w:val="008B585D"/>
    <w:rsid w:val="008B597A"/>
    <w:rsid w:val="008B5EF4"/>
    <w:rsid w:val="008B65E2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8C3"/>
    <w:rsid w:val="008C4F80"/>
    <w:rsid w:val="008C563A"/>
    <w:rsid w:val="008C57E7"/>
    <w:rsid w:val="008C5A74"/>
    <w:rsid w:val="008C5F04"/>
    <w:rsid w:val="008D0698"/>
    <w:rsid w:val="008D072F"/>
    <w:rsid w:val="008D0F98"/>
    <w:rsid w:val="008D2C5B"/>
    <w:rsid w:val="008D2EB7"/>
    <w:rsid w:val="008D321C"/>
    <w:rsid w:val="008D4FC9"/>
    <w:rsid w:val="008D520F"/>
    <w:rsid w:val="008D5D26"/>
    <w:rsid w:val="008D5DCB"/>
    <w:rsid w:val="008D655E"/>
    <w:rsid w:val="008D6594"/>
    <w:rsid w:val="008D7E4F"/>
    <w:rsid w:val="008E01EA"/>
    <w:rsid w:val="008E07A7"/>
    <w:rsid w:val="008E14A9"/>
    <w:rsid w:val="008E20AC"/>
    <w:rsid w:val="008E3ACE"/>
    <w:rsid w:val="008E4058"/>
    <w:rsid w:val="008E41BF"/>
    <w:rsid w:val="008E44A9"/>
    <w:rsid w:val="008E4A61"/>
    <w:rsid w:val="008E55DB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8AB"/>
    <w:rsid w:val="008F6943"/>
    <w:rsid w:val="008F7093"/>
    <w:rsid w:val="008F7D4B"/>
    <w:rsid w:val="009006A7"/>
    <w:rsid w:val="00901B42"/>
    <w:rsid w:val="009026E9"/>
    <w:rsid w:val="00902FCD"/>
    <w:rsid w:val="009036C1"/>
    <w:rsid w:val="00903DA1"/>
    <w:rsid w:val="00904434"/>
    <w:rsid w:val="00904DB3"/>
    <w:rsid w:val="009053A6"/>
    <w:rsid w:val="0090550A"/>
    <w:rsid w:val="00905535"/>
    <w:rsid w:val="009065BD"/>
    <w:rsid w:val="009066DA"/>
    <w:rsid w:val="009068A2"/>
    <w:rsid w:val="00907C4C"/>
    <w:rsid w:val="00907D62"/>
    <w:rsid w:val="009108D6"/>
    <w:rsid w:val="0091164C"/>
    <w:rsid w:val="00911772"/>
    <w:rsid w:val="009117A4"/>
    <w:rsid w:val="0091229F"/>
    <w:rsid w:val="00912B51"/>
    <w:rsid w:val="00912F17"/>
    <w:rsid w:val="0091317D"/>
    <w:rsid w:val="00913F44"/>
    <w:rsid w:val="0091409A"/>
    <w:rsid w:val="00914D9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7021"/>
    <w:rsid w:val="00917886"/>
    <w:rsid w:val="0092050D"/>
    <w:rsid w:val="009209FC"/>
    <w:rsid w:val="00921052"/>
    <w:rsid w:val="009216D2"/>
    <w:rsid w:val="00921E02"/>
    <w:rsid w:val="00922249"/>
    <w:rsid w:val="009228C6"/>
    <w:rsid w:val="00922928"/>
    <w:rsid w:val="00922D1B"/>
    <w:rsid w:val="00923650"/>
    <w:rsid w:val="00924ADC"/>
    <w:rsid w:val="009265A4"/>
    <w:rsid w:val="009266A1"/>
    <w:rsid w:val="009272B8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825"/>
    <w:rsid w:val="00935DFD"/>
    <w:rsid w:val="00935FE3"/>
    <w:rsid w:val="0093662A"/>
    <w:rsid w:val="009368E3"/>
    <w:rsid w:val="00937867"/>
    <w:rsid w:val="00937EE7"/>
    <w:rsid w:val="00940147"/>
    <w:rsid w:val="00940426"/>
    <w:rsid w:val="00941471"/>
    <w:rsid w:val="0094188A"/>
    <w:rsid w:val="00942334"/>
    <w:rsid w:val="00942ECE"/>
    <w:rsid w:val="00942FA6"/>
    <w:rsid w:val="009433E3"/>
    <w:rsid w:val="00943402"/>
    <w:rsid w:val="00944170"/>
    <w:rsid w:val="00944BEC"/>
    <w:rsid w:val="00944CDB"/>
    <w:rsid w:val="009475FF"/>
    <w:rsid w:val="00950229"/>
    <w:rsid w:val="00950438"/>
    <w:rsid w:val="00950F4A"/>
    <w:rsid w:val="00951190"/>
    <w:rsid w:val="009517A9"/>
    <w:rsid w:val="00953394"/>
    <w:rsid w:val="009533BA"/>
    <w:rsid w:val="00953EC7"/>
    <w:rsid w:val="00954992"/>
    <w:rsid w:val="00954FCE"/>
    <w:rsid w:val="0095509B"/>
    <w:rsid w:val="00956401"/>
    <w:rsid w:val="00957615"/>
    <w:rsid w:val="00960550"/>
    <w:rsid w:val="009606B8"/>
    <w:rsid w:val="00960D73"/>
    <w:rsid w:val="00961061"/>
    <w:rsid w:val="009613BA"/>
    <w:rsid w:val="00963043"/>
    <w:rsid w:val="00963159"/>
    <w:rsid w:val="0096360E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21A4"/>
    <w:rsid w:val="009723ED"/>
    <w:rsid w:val="00972482"/>
    <w:rsid w:val="00972626"/>
    <w:rsid w:val="009728FF"/>
    <w:rsid w:val="00972B8E"/>
    <w:rsid w:val="0097324B"/>
    <w:rsid w:val="009732AE"/>
    <w:rsid w:val="009732DB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2264"/>
    <w:rsid w:val="00982611"/>
    <w:rsid w:val="00982706"/>
    <w:rsid w:val="00982DCE"/>
    <w:rsid w:val="00983A25"/>
    <w:rsid w:val="00983B4D"/>
    <w:rsid w:val="00983E5B"/>
    <w:rsid w:val="00985348"/>
    <w:rsid w:val="00985514"/>
    <w:rsid w:val="00985CB4"/>
    <w:rsid w:val="00986E46"/>
    <w:rsid w:val="009874F0"/>
    <w:rsid w:val="00987EE8"/>
    <w:rsid w:val="0099033B"/>
    <w:rsid w:val="009908D6"/>
    <w:rsid w:val="00991823"/>
    <w:rsid w:val="009923D2"/>
    <w:rsid w:val="0099297E"/>
    <w:rsid w:val="00993A0A"/>
    <w:rsid w:val="00994B00"/>
    <w:rsid w:val="00995382"/>
    <w:rsid w:val="00995F86"/>
    <w:rsid w:val="0099601F"/>
    <w:rsid w:val="0099627F"/>
    <w:rsid w:val="009963DE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3F08"/>
    <w:rsid w:val="009A401D"/>
    <w:rsid w:val="009A4900"/>
    <w:rsid w:val="009A515D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5228"/>
    <w:rsid w:val="009C5369"/>
    <w:rsid w:val="009C537F"/>
    <w:rsid w:val="009C540E"/>
    <w:rsid w:val="009C558C"/>
    <w:rsid w:val="009C5F7D"/>
    <w:rsid w:val="009C6704"/>
    <w:rsid w:val="009C6AA0"/>
    <w:rsid w:val="009C7326"/>
    <w:rsid w:val="009C7350"/>
    <w:rsid w:val="009C796A"/>
    <w:rsid w:val="009C7FDA"/>
    <w:rsid w:val="009D0240"/>
    <w:rsid w:val="009D08B4"/>
    <w:rsid w:val="009D09EC"/>
    <w:rsid w:val="009D0D2F"/>
    <w:rsid w:val="009D169B"/>
    <w:rsid w:val="009D188E"/>
    <w:rsid w:val="009D1A02"/>
    <w:rsid w:val="009D1E02"/>
    <w:rsid w:val="009D2234"/>
    <w:rsid w:val="009D2686"/>
    <w:rsid w:val="009D2B16"/>
    <w:rsid w:val="009D39F4"/>
    <w:rsid w:val="009D3FBF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2D7"/>
    <w:rsid w:val="009E3A32"/>
    <w:rsid w:val="009E43E0"/>
    <w:rsid w:val="009E47F3"/>
    <w:rsid w:val="009E4A78"/>
    <w:rsid w:val="009E569D"/>
    <w:rsid w:val="009E56A3"/>
    <w:rsid w:val="009E5EBA"/>
    <w:rsid w:val="009E65F2"/>
    <w:rsid w:val="009E6A07"/>
    <w:rsid w:val="009E6E23"/>
    <w:rsid w:val="009E78F5"/>
    <w:rsid w:val="009E7DC5"/>
    <w:rsid w:val="009F0057"/>
    <w:rsid w:val="009F1FA2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102F"/>
    <w:rsid w:val="00A018DE"/>
    <w:rsid w:val="00A022B7"/>
    <w:rsid w:val="00A0330C"/>
    <w:rsid w:val="00A03354"/>
    <w:rsid w:val="00A04086"/>
    <w:rsid w:val="00A04391"/>
    <w:rsid w:val="00A04C49"/>
    <w:rsid w:val="00A04E4D"/>
    <w:rsid w:val="00A04EE8"/>
    <w:rsid w:val="00A0535F"/>
    <w:rsid w:val="00A0561D"/>
    <w:rsid w:val="00A05A12"/>
    <w:rsid w:val="00A05FB9"/>
    <w:rsid w:val="00A06057"/>
    <w:rsid w:val="00A061CA"/>
    <w:rsid w:val="00A066ED"/>
    <w:rsid w:val="00A0723A"/>
    <w:rsid w:val="00A07A77"/>
    <w:rsid w:val="00A07E70"/>
    <w:rsid w:val="00A1018B"/>
    <w:rsid w:val="00A11A55"/>
    <w:rsid w:val="00A11AF9"/>
    <w:rsid w:val="00A11E46"/>
    <w:rsid w:val="00A11E8E"/>
    <w:rsid w:val="00A12285"/>
    <w:rsid w:val="00A12570"/>
    <w:rsid w:val="00A129C3"/>
    <w:rsid w:val="00A12E26"/>
    <w:rsid w:val="00A1329C"/>
    <w:rsid w:val="00A1369A"/>
    <w:rsid w:val="00A13F37"/>
    <w:rsid w:val="00A1437B"/>
    <w:rsid w:val="00A1444A"/>
    <w:rsid w:val="00A1456F"/>
    <w:rsid w:val="00A147BE"/>
    <w:rsid w:val="00A148FB"/>
    <w:rsid w:val="00A16D25"/>
    <w:rsid w:val="00A17275"/>
    <w:rsid w:val="00A17283"/>
    <w:rsid w:val="00A17A49"/>
    <w:rsid w:val="00A2071F"/>
    <w:rsid w:val="00A2109E"/>
    <w:rsid w:val="00A224C3"/>
    <w:rsid w:val="00A22863"/>
    <w:rsid w:val="00A23578"/>
    <w:rsid w:val="00A23882"/>
    <w:rsid w:val="00A23A81"/>
    <w:rsid w:val="00A23F10"/>
    <w:rsid w:val="00A23FA7"/>
    <w:rsid w:val="00A2469A"/>
    <w:rsid w:val="00A249CB"/>
    <w:rsid w:val="00A250FE"/>
    <w:rsid w:val="00A25803"/>
    <w:rsid w:val="00A25F3A"/>
    <w:rsid w:val="00A263A8"/>
    <w:rsid w:val="00A26BA5"/>
    <w:rsid w:val="00A273EC"/>
    <w:rsid w:val="00A27517"/>
    <w:rsid w:val="00A27C11"/>
    <w:rsid w:val="00A27EF8"/>
    <w:rsid w:val="00A30BE4"/>
    <w:rsid w:val="00A30C6A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CF"/>
    <w:rsid w:val="00A34CFA"/>
    <w:rsid w:val="00A357DC"/>
    <w:rsid w:val="00A35B92"/>
    <w:rsid w:val="00A35E90"/>
    <w:rsid w:val="00A36A44"/>
    <w:rsid w:val="00A36AC8"/>
    <w:rsid w:val="00A37046"/>
    <w:rsid w:val="00A3754A"/>
    <w:rsid w:val="00A37562"/>
    <w:rsid w:val="00A37627"/>
    <w:rsid w:val="00A37A11"/>
    <w:rsid w:val="00A40310"/>
    <w:rsid w:val="00A41EED"/>
    <w:rsid w:val="00A42911"/>
    <w:rsid w:val="00A42AA0"/>
    <w:rsid w:val="00A42EE3"/>
    <w:rsid w:val="00A438BC"/>
    <w:rsid w:val="00A43DC9"/>
    <w:rsid w:val="00A44C21"/>
    <w:rsid w:val="00A461DF"/>
    <w:rsid w:val="00A46ADF"/>
    <w:rsid w:val="00A4763A"/>
    <w:rsid w:val="00A47829"/>
    <w:rsid w:val="00A509A5"/>
    <w:rsid w:val="00A51086"/>
    <w:rsid w:val="00A51E28"/>
    <w:rsid w:val="00A51F91"/>
    <w:rsid w:val="00A52334"/>
    <w:rsid w:val="00A5235D"/>
    <w:rsid w:val="00A536A4"/>
    <w:rsid w:val="00A53D3C"/>
    <w:rsid w:val="00A53F59"/>
    <w:rsid w:val="00A5413B"/>
    <w:rsid w:val="00A54B5F"/>
    <w:rsid w:val="00A54D62"/>
    <w:rsid w:val="00A55E5B"/>
    <w:rsid w:val="00A55F90"/>
    <w:rsid w:val="00A56261"/>
    <w:rsid w:val="00A5643A"/>
    <w:rsid w:val="00A565DF"/>
    <w:rsid w:val="00A56D75"/>
    <w:rsid w:val="00A60804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EE7"/>
    <w:rsid w:val="00A662DC"/>
    <w:rsid w:val="00A66365"/>
    <w:rsid w:val="00A67409"/>
    <w:rsid w:val="00A67C3C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89F"/>
    <w:rsid w:val="00A76564"/>
    <w:rsid w:val="00A76ADF"/>
    <w:rsid w:val="00A77243"/>
    <w:rsid w:val="00A77509"/>
    <w:rsid w:val="00A77527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F3"/>
    <w:rsid w:val="00A8367E"/>
    <w:rsid w:val="00A84808"/>
    <w:rsid w:val="00A8575C"/>
    <w:rsid w:val="00A85B5B"/>
    <w:rsid w:val="00A85CA7"/>
    <w:rsid w:val="00A862C3"/>
    <w:rsid w:val="00A862DA"/>
    <w:rsid w:val="00A86ACB"/>
    <w:rsid w:val="00A87F51"/>
    <w:rsid w:val="00A9047F"/>
    <w:rsid w:val="00A9066A"/>
    <w:rsid w:val="00A90B9F"/>
    <w:rsid w:val="00A90FEE"/>
    <w:rsid w:val="00A912B3"/>
    <w:rsid w:val="00A91E35"/>
    <w:rsid w:val="00A921AC"/>
    <w:rsid w:val="00A9294F"/>
    <w:rsid w:val="00A93146"/>
    <w:rsid w:val="00A93B42"/>
    <w:rsid w:val="00A93C01"/>
    <w:rsid w:val="00A93F2E"/>
    <w:rsid w:val="00A948AF"/>
    <w:rsid w:val="00A951C8"/>
    <w:rsid w:val="00A955E1"/>
    <w:rsid w:val="00A955FC"/>
    <w:rsid w:val="00A963ED"/>
    <w:rsid w:val="00A97034"/>
    <w:rsid w:val="00A97597"/>
    <w:rsid w:val="00A97789"/>
    <w:rsid w:val="00A97C12"/>
    <w:rsid w:val="00AA03C8"/>
    <w:rsid w:val="00AA0EF8"/>
    <w:rsid w:val="00AA12A1"/>
    <w:rsid w:val="00AA1368"/>
    <w:rsid w:val="00AA1738"/>
    <w:rsid w:val="00AA2D29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A72A2"/>
    <w:rsid w:val="00AB0610"/>
    <w:rsid w:val="00AB0889"/>
    <w:rsid w:val="00AB1A1C"/>
    <w:rsid w:val="00AB1EF4"/>
    <w:rsid w:val="00AB32C8"/>
    <w:rsid w:val="00AB477F"/>
    <w:rsid w:val="00AB4D78"/>
    <w:rsid w:val="00AB4FAB"/>
    <w:rsid w:val="00AB563F"/>
    <w:rsid w:val="00AB57DE"/>
    <w:rsid w:val="00AB63E7"/>
    <w:rsid w:val="00AB6D82"/>
    <w:rsid w:val="00AB701B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4076"/>
    <w:rsid w:val="00AC5532"/>
    <w:rsid w:val="00AC66AF"/>
    <w:rsid w:val="00AC695D"/>
    <w:rsid w:val="00AD0697"/>
    <w:rsid w:val="00AD0F43"/>
    <w:rsid w:val="00AD5240"/>
    <w:rsid w:val="00AD57C9"/>
    <w:rsid w:val="00AD6C63"/>
    <w:rsid w:val="00AD74C3"/>
    <w:rsid w:val="00AD75A9"/>
    <w:rsid w:val="00AD7A3D"/>
    <w:rsid w:val="00AD7E20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30B"/>
    <w:rsid w:val="00AF0761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C65"/>
    <w:rsid w:val="00AF72EA"/>
    <w:rsid w:val="00AF73AC"/>
    <w:rsid w:val="00AF758E"/>
    <w:rsid w:val="00B00D6F"/>
    <w:rsid w:val="00B0110E"/>
    <w:rsid w:val="00B023C5"/>
    <w:rsid w:val="00B0287D"/>
    <w:rsid w:val="00B03D5E"/>
    <w:rsid w:val="00B040C4"/>
    <w:rsid w:val="00B042E3"/>
    <w:rsid w:val="00B04EFE"/>
    <w:rsid w:val="00B0563E"/>
    <w:rsid w:val="00B060A5"/>
    <w:rsid w:val="00B06D5E"/>
    <w:rsid w:val="00B07A7B"/>
    <w:rsid w:val="00B07C05"/>
    <w:rsid w:val="00B10682"/>
    <w:rsid w:val="00B10CFF"/>
    <w:rsid w:val="00B113F9"/>
    <w:rsid w:val="00B113FC"/>
    <w:rsid w:val="00B12406"/>
    <w:rsid w:val="00B133CE"/>
    <w:rsid w:val="00B1358F"/>
    <w:rsid w:val="00B1417E"/>
    <w:rsid w:val="00B14188"/>
    <w:rsid w:val="00B146EA"/>
    <w:rsid w:val="00B150DA"/>
    <w:rsid w:val="00B15DE4"/>
    <w:rsid w:val="00B17602"/>
    <w:rsid w:val="00B20738"/>
    <w:rsid w:val="00B207AC"/>
    <w:rsid w:val="00B208A9"/>
    <w:rsid w:val="00B20B98"/>
    <w:rsid w:val="00B210DB"/>
    <w:rsid w:val="00B211F0"/>
    <w:rsid w:val="00B2175E"/>
    <w:rsid w:val="00B21A63"/>
    <w:rsid w:val="00B22F76"/>
    <w:rsid w:val="00B23071"/>
    <w:rsid w:val="00B2307D"/>
    <w:rsid w:val="00B23AD7"/>
    <w:rsid w:val="00B23CB4"/>
    <w:rsid w:val="00B241B4"/>
    <w:rsid w:val="00B2442C"/>
    <w:rsid w:val="00B249F3"/>
    <w:rsid w:val="00B24EFC"/>
    <w:rsid w:val="00B25848"/>
    <w:rsid w:val="00B26415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EF1"/>
    <w:rsid w:val="00B3367A"/>
    <w:rsid w:val="00B336F9"/>
    <w:rsid w:val="00B33C9B"/>
    <w:rsid w:val="00B3440E"/>
    <w:rsid w:val="00B3560F"/>
    <w:rsid w:val="00B36814"/>
    <w:rsid w:val="00B3721C"/>
    <w:rsid w:val="00B37A69"/>
    <w:rsid w:val="00B37B06"/>
    <w:rsid w:val="00B41071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AA0"/>
    <w:rsid w:val="00B44CD7"/>
    <w:rsid w:val="00B455C5"/>
    <w:rsid w:val="00B45F57"/>
    <w:rsid w:val="00B468A2"/>
    <w:rsid w:val="00B46DE1"/>
    <w:rsid w:val="00B47214"/>
    <w:rsid w:val="00B47320"/>
    <w:rsid w:val="00B47344"/>
    <w:rsid w:val="00B4744C"/>
    <w:rsid w:val="00B4785B"/>
    <w:rsid w:val="00B503AC"/>
    <w:rsid w:val="00B50FBB"/>
    <w:rsid w:val="00B51D16"/>
    <w:rsid w:val="00B52688"/>
    <w:rsid w:val="00B533BB"/>
    <w:rsid w:val="00B543EC"/>
    <w:rsid w:val="00B55671"/>
    <w:rsid w:val="00B564B1"/>
    <w:rsid w:val="00B573DE"/>
    <w:rsid w:val="00B57C6D"/>
    <w:rsid w:val="00B60673"/>
    <w:rsid w:val="00B60CB3"/>
    <w:rsid w:val="00B61664"/>
    <w:rsid w:val="00B61D3E"/>
    <w:rsid w:val="00B629B9"/>
    <w:rsid w:val="00B62C88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70C2C"/>
    <w:rsid w:val="00B7306C"/>
    <w:rsid w:val="00B73109"/>
    <w:rsid w:val="00B7381B"/>
    <w:rsid w:val="00B738AF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7DE"/>
    <w:rsid w:val="00B80F66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358"/>
    <w:rsid w:val="00B854FB"/>
    <w:rsid w:val="00B85D40"/>
    <w:rsid w:val="00B863A6"/>
    <w:rsid w:val="00B86C7B"/>
    <w:rsid w:val="00B86DE1"/>
    <w:rsid w:val="00B877AE"/>
    <w:rsid w:val="00B87CC9"/>
    <w:rsid w:val="00B87FF4"/>
    <w:rsid w:val="00B906DB"/>
    <w:rsid w:val="00B90F07"/>
    <w:rsid w:val="00B915DE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F7A"/>
    <w:rsid w:val="00BA05EC"/>
    <w:rsid w:val="00BA07C0"/>
    <w:rsid w:val="00BA0B44"/>
    <w:rsid w:val="00BA0C6D"/>
    <w:rsid w:val="00BA0CF6"/>
    <w:rsid w:val="00BA1CDF"/>
    <w:rsid w:val="00BA1EB1"/>
    <w:rsid w:val="00BA26F8"/>
    <w:rsid w:val="00BA321A"/>
    <w:rsid w:val="00BA3C79"/>
    <w:rsid w:val="00BA4955"/>
    <w:rsid w:val="00BA4CCF"/>
    <w:rsid w:val="00BA5EEF"/>
    <w:rsid w:val="00BA6288"/>
    <w:rsid w:val="00BA69A9"/>
    <w:rsid w:val="00BA7689"/>
    <w:rsid w:val="00BA7A3E"/>
    <w:rsid w:val="00BA7C85"/>
    <w:rsid w:val="00BB025D"/>
    <w:rsid w:val="00BB0582"/>
    <w:rsid w:val="00BB0A5D"/>
    <w:rsid w:val="00BB0C2A"/>
    <w:rsid w:val="00BB0F27"/>
    <w:rsid w:val="00BB198E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7007"/>
    <w:rsid w:val="00BB764E"/>
    <w:rsid w:val="00BC035C"/>
    <w:rsid w:val="00BC0B05"/>
    <w:rsid w:val="00BC1113"/>
    <w:rsid w:val="00BC1294"/>
    <w:rsid w:val="00BC1924"/>
    <w:rsid w:val="00BC1F30"/>
    <w:rsid w:val="00BC1FBE"/>
    <w:rsid w:val="00BC2A64"/>
    <w:rsid w:val="00BC3690"/>
    <w:rsid w:val="00BC4420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1C05"/>
    <w:rsid w:val="00BD272C"/>
    <w:rsid w:val="00BD2ABD"/>
    <w:rsid w:val="00BD2C28"/>
    <w:rsid w:val="00BD3079"/>
    <w:rsid w:val="00BD34AA"/>
    <w:rsid w:val="00BD34E8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62AC"/>
    <w:rsid w:val="00BD64BF"/>
    <w:rsid w:val="00BD6C7A"/>
    <w:rsid w:val="00BD72A3"/>
    <w:rsid w:val="00BD77AC"/>
    <w:rsid w:val="00BD7C05"/>
    <w:rsid w:val="00BE0DAA"/>
    <w:rsid w:val="00BE17E2"/>
    <w:rsid w:val="00BE1D49"/>
    <w:rsid w:val="00BE238C"/>
    <w:rsid w:val="00BE2571"/>
    <w:rsid w:val="00BE29DC"/>
    <w:rsid w:val="00BE3391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AA8"/>
    <w:rsid w:val="00C04057"/>
    <w:rsid w:val="00C05D76"/>
    <w:rsid w:val="00C05DC8"/>
    <w:rsid w:val="00C05F14"/>
    <w:rsid w:val="00C0603C"/>
    <w:rsid w:val="00C06A1D"/>
    <w:rsid w:val="00C0759C"/>
    <w:rsid w:val="00C0784B"/>
    <w:rsid w:val="00C1069B"/>
    <w:rsid w:val="00C122DD"/>
    <w:rsid w:val="00C124FF"/>
    <w:rsid w:val="00C12657"/>
    <w:rsid w:val="00C12B4E"/>
    <w:rsid w:val="00C13076"/>
    <w:rsid w:val="00C1390B"/>
    <w:rsid w:val="00C13A6F"/>
    <w:rsid w:val="00C13C56"/>
    <w:rsid w:val="00C14264"/>
    <w:rsid w:val="00C14CF0"/>
    <w:rsid w:val="00C153A9"/>
    <w:rsid w:val="00C155C0"/>
    <w:rsid w:val="00C15B5E"/>
    <w:rsid w:val="00C16743"/>
    <w:rsid w:val="00C16C82"/>
    <w:rsid w:val="00C200F5"/>
    <w:rsid w:val="00C20189"/>
    <w:rsid w:val="00C20698"/>
    <w:rsid w:val="00C20AE0"/>
    <w:rsid w:val="00C20D88"/>
    <w:rsid w:val="00C21017"/>
    <w:rsid w:val="00C21AA1"/>
    <w:rsid w:val="00C21ABF"/>
    <w:rsid w:val="00C21D5E"/>
    <w:rsid w:val="00C221A4"/>
    <w:rsid w:val="00C22F49"/>
    <w:rsid w:val="00C2316F"/>
    <w:rsid w:val="00C23DF7"/>
    <w:rsid w:val="00C23F97"/>
    <w:rsid w:val="00C242DF"/>
    <w:rsid w:val="00C24B59"/>
    <w:rsid w:val="00C252EB"/>
    <w:rsid w:val="00C2581F"/>
    <w:rsid w:val="00C2684A"/>
    <w:rsid w:val="00C26A62"/>
    <w:rsid w:val="00C26AAA"/>
    <w:rsid w:val="00C26BB6"/>
    <w:rsid w:val="00C27186"/>
    <w:rsid w:val="00C27DFF"/>
    <w:rsid w:val="00C3073D"/>
    <w:rsid w:val="00C308AF"/>
    <w:rsid w:val="00C30C77"/>
    <w:rsid w:val="00C31690"/>
    <w:rsid w:val="00C3428D"/>
    <w:rsid w:val="00C342D4"/>
    <w:rsid w:val="00C3436E"/>
    <w:rsid w:val="00C34C5D"/>
    <w:rsid w:val="00C34CDE"/>
    <w:rsid w:val="00C36BB4"/>
    <w:rsid w:val="00C40285"/>
    <w:rsid w:val="00C40C92"/>
    <w:rsid w:val="00C40F56"/>
    <w:rsid w:val="00C41AF6"/>
    <w:rsid w:val="00C41FA4"/>
    <w:rsid w:val="00C42091"/>
    <w:rsid w:val="00C423BF"/>
    <w:rsid w:val="00C42410"/>
    <w:rsid w:val="00C42862"/>
    <w:rsid w:val="00C4299F"/>
    <w:rsid w:val="00C43183"/>
    <w:rsid w:val="00C43EBE"/>
    <w:rsid w:val="00C44F71"/>
    <w:rsid w:val="00C4536E"/>
    <w:rsid w:val="00C4630B"/>
    <w:rsid w:val="00C466FE"/>
    <w:rsid w:val="00C46D0E"/>
    <w:rsid w:val="00C46E02"/>
    <w:rsid w:val="00C4788F"/>
    <w:rsid w:val="00C478A2"/>
    <w:rsid w:val="00C50E75"/>
    <w:rsid w:val="00C51CD4"/>
    <w:rsid w:val="00C51FBB"/>
    <w:rsid w:val="00C52771"/>
    <w:rsid w:val="00C5290F"/>
    <w:rsid w:val="00C52C2D"/>
    <w:rsid w:val="00C537FF"/>
    <w:rsid w:val="00C53B2A"/>
    <w:rsid w:val="00C53F7B"/>
    <w:rsid w:val="00C54FFF"/>
    <w:rsid w:val="00C5605B"/>
    <w:rsid w:val="00C56068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80095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4812"/>
    <w:rsid w:val="00C948D6"/>
    <w:rsid w:val="00C94E29"/>
    <w:rsid w:val="00C94E80"/>
    <w:rsid w:val="00C95ECE"/>
    <w:rsid w:val="00C96031"/>
    <w:rsid w:val="00C96205"/>
    <w:rsid w:val="00C97F1B"/>
    <w:rsid w:val="00CA0070"/>
    <w:rsid w:val="00CA0C19"/>
    <w:rsid w:val="00CA137E"/>
    <w:rsid w:val="00CA161B"/>
    <w:rsid w:val="00CA1F33"/>
    <w:rsid w:val="00CA2BD5"/>
    <w:rsid w:val="00CA2C8C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6525"/>
    <w:rsid w:val="00CB6C6F"/>
    <w:rsid w:val="00CB7314"/>
    <w:rsid w:val="00CB76AA"/>
    <w:rsid w:val="00CB771E"/>
    <w:rsid w:val="00CB7805"/>
    <w:rsid w:val="00CB79AE"/>
    <w:rsid w:val="00CC055B"/>
    <w:rsid w:val="00CC2ACB"/>
    <w:rsid w:val="00CC2DE3"/>
    <w:rsid w:val="00CC34BA"/>
    <w:rsid w:val="00CC3C30"/>
    <w:rsid w:val="00CC3E08"/>
    <w:rsid w:val="00CC4B84"/>
    <w:rsid w:val="00CC57AB"/>
    <w:rsid w:val="00CC5A18"/>
    <w:rsid w:val="00CC6448"/>
    <w:rsid w:val="00CC6551"/>
    <w:rsid w:val="00CC681F"/>
    <w:rsid w:val="00CC686F"/>
    <w:rsid w:val="00CC6C59"/>
    <w:rsid w:val="00CC736E"/>
    <w:rsid w:val="00CC75B2"/>
    <w:rsid w:val="00CC771E"/>
    <w:rsid w:val="00CC775F"/>
    <w:rsid w:val="00CC7783"/>
    <w:rsid w:val="00CD0D2B"/>
    <w:rsid w:val="00CD13A4"/>
    <w:rsid w:val="00CD19ED"/>
    <w:rsid w:val="00CD2039"/>
    <w:rsid w:val="00CD2076"/>
    <w:rsid w:val="00CD23A3"/>
    <w:rsid w:val="00CD2689"/>
    <w:rsid w:val="00CD280F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4EE"/>
    <w:rsid w:val="00CE47EE"/>
    <w:rsid w:val="00CE4A72"/>
    <w:rsid w:val="00CE58D8"/>
    <w:rsid w:val="00CE5DC3"/>
    <w:rsid w:val="00CE6B2D"/>
    <w:rsid w:val="00CE6BF4"/>
    <w:rsid w:val="00CE79EC"/>
    <w:rsid w:val="00CF02CE"/>
    <w:rsid w:val="00CF0AE8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9FB"/>
    <w:rsid w:val="00D00397"/>
    <w:rsid w:val="00D00B48"/>
    <w:rsid w:val="00D0118F"/>
    <w:rsid w:val="00D01FCA"/>
    <w:rsid w:val="00D021B2"/>
    <w:rsid w:val="00D02DF7"/>
    <w:rsid w:val="00D03B03"/>
    <w:rsid w:val="00D06120"/>
    <w:rsid w:val="00D062D8"/>
    <w:rsid w:val="00D0675B"/>
    <w:rsid w:val="00D06DFE"/>
    <w:rsid w:val="00D07A4A"/>
    <w:rsid w:val="00D07E62"/>
    <w:rsid w:val="00D07EF4"/>
    <w:rsid w:val="00D105A6"/>
    <w:rsid w:val="00D11E2F"/>
    <w:rsid w:val="00D123CB"/>
    <w:rsid w:val="00D126F3"/>
    <w:rsid w:val="00D12800"/>
    <w:rsid w:val="00D12D2B"/>
    <w:rsid w:val="00D12F6B"/>
    <w:rsid w:val="00D1348F"/>
    <w:rsid w:val="00D13C7D"/>
    <w:rsid w:val="00D14A9C"/>
    <w:rsid w:val="00D14ACA"/>
    <w:rsid w:val="00D14DD1"/>
    <w:rsid w:val="00D158BB"/>
    <w:rsid w:val="00D15992"/>
    <w:rsid w:val="00D16D74"/>
    <w:rsid w:val="00D17B3E"/>
    <w:rsid w:val="00D17F1C"/>
    <w:rsid w:val="00D20563"/>
    <w:rsid w:val="00D20828"/>
    <w:rsid w:val="00D213F9"/>
    <w:rsid w:val="00D21C54"/>
    <w:rsid w:val="00D21CD3"/>
    <w:rsid w:val="00D21F98"/>
    <w:rsid w:val="00D22878"/>
    <w:rsid w:val="00D22F1F"/>
    <w:rsid w:val="00D2321B"/>
    <w:rsid w:val="00D247CB"/>
    <w:rsid w:val="00D249EC"/>
    <w:rsid w:val="00D24D8C"/>
    <w:rsid w:val="00D25C76"/>
    <w:rsid w:val="00D2643A"/>
    <w:rsid w:val="00D264A9"/>
    <w:rsid w:val="00D267F3"/>
    <w:rsid w:val="00D26894"/>
    <w:rsid w:val="00D26BD0"/>
    <w:rsid w:val="00D27232"/>
    <w:rsid w:val="00D2740E"/>
    <w:rsid w:val="00D275CF"/>
    <w:rsid w:val="00D303E5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798"/>
    <w:rsid w:val="00D4634F"/>
    <w:rsid w:val="00D464A1"/>
    <w:rsid w:val="00D4694C"/>
    <w:rsid w:val="00D46AFA"/>
    <w:rsid w:val="00D46EC8"/>
    <w:rsid w:val="00D47479"/>
    <w:rsid w:val="00D47AC9"/>
    <w:rsid w:val="00D47C45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233B"/>
    <w:rsid w:val="00D623A5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99B"/>
    <w:rsid w:val="00D67162"/>
    <w:rsid w:val="00D67AF6"/>
    <w:rsid w:val="00D7022B"/>
    <w:rsid w:val="00D703FF"/>
    <w:rsid w:val="00D70E4F"/>
    <w:rsid w:val="00D7183A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E68"/>
    <w:rsid w:val="00D76EF0"/>
    <w:rsid w:val="00D7781C"/>
    <w:rsid w:val="00D80103"/>
    <w:rsid w:val="00D80C95"/>
    <w:rsid w:val="00D80C9F"/>
    <w:rsid w:val="00D81AA1"/>
    <w:rsid w:val="00D827E7"/>
    <w:rsid w:val="00D82CF8"/>
    <w:rsid w:val="00D82ECD"/>
    <w:rsid w:val="00D839A0"/>
    <w:rsid w:val="00D83E48"/>
    <w:rsid w:val="00D84153"/>
    <w:rsid w:val="00D84D20"/>
    <w:rsid w:val="00D86532"/>
    <w:rsid w:val="00D871DD"/>
    <w:rsid w:val="00D905FF"/>
    <w:rsid w:val="00D90EFB"/>
    <w:rsid w:val="00D917C2"/>
    <w:rsid w:val="00D91D07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E7B"/>
    <w:rsid w:val="00DA4EB5"/>
    <w:rsid w:val="00DA5062"/>
    <w:rsid w:val="00DA50C2"/>
    <w:rsid w:val="00DA544A"/>
    <w:rsid w:val="00DA5538"/>
    <w:rsid w:val="00DA5820"/>
    <w:rsid w:val="00DA5853"/>
    <w:rsid w:val="00DA67F2"/>
    <w:rsid w:val="00DA74E6"/>
    <w:rsid w:val="00DA7A96"/>
    <w:rsid w:val="00DB01AE"/>
    <w:rsid w:val="00DB0224"/>
    <w:rsid w:val="00DB0BB9"/>
    <w:rsid w:val="00DB1864"/>
    <w:rsid w:val="00DB1CF0"/>
    <w:rsid w:val="00DB24A2"/>
    <w:rsid w:val="00DB27D4"/>
    <w:rsid w:val="00DB39D1"/>
    <w:rsid w:val="00DB3E2F"/>
    <w:rsid w:val="00DB46B8"/>
    <w:rsid w:val="00DB4E78"/>
    <w:rsid w:val="00DB5314"/>
    <w:rsid w:val="00DB557B"/>
    <w:rsid w:val="00DB5BAE"/>
    <w:rsid w:val="00DB5D82"/>
    <w:rsid w:val="00DB5E63"/>
    <w:rsid w:val="00DB6436"/>
    <w:rsid w:val="00DB6B06"/>
    <w:rsid w:val="00DB765A"/>
    <w:rsid w:val="00DB7944"/>
    <w:rsid w:val="00DC0076"/>
    <w:rsid w:val="00DC069A"/>
    <w:rsid w:val="00DC0878"/>
    <w:rsid w:val="00DC184F"/>
    <w:rsid w:val="00DC1E79"/>
    <w:rsid w:val="00DC1E97"/>
    <w:rsid w:val="00DC1F3C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456"/>
    <w:rsid w:val="00DD2D61"/>
    <w:rsid w:val="00DD2FF8"/>
    <w:rsid w:val="00DD3081"/>
    <w:rsid w:val="00DD3582"/>
    <w:rsid w:val="00DD40DC"/>
    <w:rsid w:val="00DD4982"/>
    <w:rsid w:val="00DD5225"/>
    <w:rsid w:val="00DD52A4"/>
    <w:rsid w:val="00DD5C41"/>
    <w:rsid w:val="00DD6592"/>
    <w:rsid w:val="00DD7AA1"/>
    <w:rsid w:val="00DE1148"/>
    <w:rsid w:val="00DE1720"/>
    <w:rsid w:val="00DE2B76"/>
    <w:rsid w:val="00DE2CC7"/>
    <w:rsid w:val="00DE3789"/>
    <w:rsid w:val="00DE45CB"/>
    <w:rsid w:val="00DE4A6A"/>
    <w:rsid w:val="00DE5271"/>
    <w:rsid w:val="00DE6698"/>
    <w:rsid w:val="00DE6807"/>
    <w:rsid w:val="00DE7C3F"/>
    <w:rsid w:val="00DF0733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70B3"/>
    <w:rsid w:val="00DF7126"/>
    <w:rsid w:val="00DF7129"/>
    <w:rsid w:val="00E0042F"/>
    <w:rsid w:val="00E00744"/>
    <w:rsid w:val="00E00AFE"/>
    <w:rsid w:val="00E014A1"/>
    <w:rsid w:val="00E02069"/>
    <w:rsid w:val="00E020DD"/>
    <w:rsid w:val="00E022FB"/>
    <w:rsid w:val="00E02673"/>
    <w:rsid w:val="00E02AA0"/>
    <w:rsid w:val="00E02C8C"/>
    <w:rsid w:val="00E02ECF"/>
    <w:rsid w:val="00E039CB"/>
    <w:rsid w:val="00E03CEA"/>
    <w:rsid w:val="00E03CEF"/>
    <w:rsid w:val="00E03F78"/>
    <w:rsid w:val="00E04A07"/>
    <w:rsid w:val="00E04E91"/>
    <w:rsid w:val="00E107EB"/>
    <w:rsid w:val="00E108C2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4E72"/>
    <w:rsid w:val="00E15047"/>
    <w:rsid w:val="00E1537D"/>
    <w:rsid w:val="00E15D18"/>
    <w:rsid w:val="00E163D1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149"/>
    <w:rsid w:val="00E22722"/>
    <w:rsid w:val="00E22C8A"/>
    <w:rsid w:val="00E22E98"/>
    <w:rsid w:val="00E2301B"/>
    <w:rsid w:val="00E23C77"/>
    <w:rsid w:val="00E2422F"/>
    <w:rsid w:val="00E24C34"/>
    <w:rsid w:val="00E25313"/>
    <w:rsid w:val="00E255F1"/>
    <w:rsid w:val="00E269EC"/>
    <w:rsid w:val="00E272C0"/>
    <w:rsid w:val="00E27547"/>
    <w:rsid w:val="00E30CE9"/>
    <w:rsid w:val="00E313F4"/>
    <w:rsid w:val="00E31555"/>
    <w:rsid w:val="00E3165A"/>
    <w:rsid w:val="00E33342"/>
    <w:rsid w:val="00E3532A"/>
    <w:rsid w:val="00E35BE6"/>
    <w:rsid w:val="00E36218"/>
    <w:rsid w:val="00E365D9"/>
    <w:rsid w:val="00E36938"/>
    <w:rsid w:val="00E36B00"/>
    <w:rsid w:val="00E36B24"/>
    <w:rsid w:val="00E373F4"/>
    <w:rsid w:val="00E37483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977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FCE"/>
    <w:rsid w:val="00E53057"/>
    <w:rsid w:val="00E542E5"/>
    <w:rsid w:val="00E54781"/>
    <w:rsid w:val="00E557C2"/>
    <w:rsid w:val="00E55959"/>
    <w:rsid w:val="00E562FE"/>
    <w:rsid w:val="00E602D0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511A"/>
    <w:rsid w:val="00E665DA"/>
    <w:rsid w:val="00E66864"/>
    <w:rsid w:val="00E66D6B"/>
    <w:rsid w:val="00E67CB2"/>
    <w:rsid w:val="00E7136E"/>
    <w:rsid w:val="00E71637"/>
    <w:rsid w:val="00E716DB"/>
    <w:rsid w:val="00E71934"/>
    <w:rsid w:val="00E72057"/>
    <w:rsid w:val="00E722EE"/>
    <w:rsid w:val="00E72B90"/>
    <w:rsid w:val="00E7359B"/>
    <w:rsid w:val="00E736DA"/>
    <w:rsid w:val="00E73AC8"/>
    <w:rsid w:val="00E73E79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10CB"/>
    <w:rsid w:val="00E81A15"/>
    <w:rsid w:val="00E820CC"/>
    <w:rsid w:val="00E822D4"/>
    <w:rsid w:val="00E828CA"/>
    <w:rsid w:val="00E82B8E"/>
    <w:rsid w:val="00E82E62"/>
    <w:rsid w:val="00E83466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90065"/>
    <w:rsid w:val="00E908D2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BFE"/>
    <w:rsid w:val="00EB509F"/>
    <w:rsid w:val="00EB5867"/>
    <w:rsid w:val="00EB5AC1"/>
    <w:rsid w:val="00EB668E"/>
    <w:rsid w:val="00EB6693"/>
    <w:rsid w:val="00EB7A8C"/>
    <w:rsid w:val="00EC12F0"/>
    <w:rsid w:val="00EC1C1D"/>
    <w:rsid w:val="00EC1DF8"/>
    <w:rsid w:val="00EC21D0"/>
    <w:rsid w:val="00EC237B"/>
    <w:rsid w:val="00EC2931"/>
    <w:rsid w:val="00EC2AC7"/>
    <w:rsid w:val="00EC3212"/>
    <w:rsid w:val="00EC3605"/>
    <w:rsid w:val="00EC37D1"/>
    <w:rsid w:val="00EC3B76"/>
    <w:rsid w:val="00EC41C7"/>
    <w:rsid w:val="00EC4536"/>
    <w:rsid w:val="00EC5827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423F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D7CB0"/>
    <w:rsid w:val="00EE00B8"/>
    <w:rsid w:val="00EE03AB"/>
    <w:rsid w:val="00EE046E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9A7"/>
    <w:rsid w:val="00EE4FDD"/>
    <w:rsid w:val="00EE50A2"/>
    <w:rsid w:val="00EE5179"/>
    <w:rsid w:val="00EE536C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5F1"/>
    <w:rsid w:val="00EF1772"/>
    <w:rsid w:val="00EF2B7E"/>
    <w:rsid w:val="00EF2F02"/>
    <w:rsid w:val="00EF3145"/>
    <w:rsid w:val="00EF343A"/>
    <w:rsid w:val="00EF4661"/>
    <w:rsid w:val="00EF5323"/>
    <w:rsid w:val="00EF5361"/>
    <w:rsid w:val="00EF539E"/>
    <w:rsid w:val="00EF5867"/>
    <w:rsid w:val="00EF6DC1"/>
    <w:rsid w:val="00EF79F5"/>
    <w:rsid w:val="00F00360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9A5"/>
    <w:rsid w:val="00F04E0F"/>
    <w:rsid w:val="00F05521"/>
    <w:rsid w:val="00F0585D"/>
    <w:rsid w:val="00F05B5C"/>
    <w:rsid w:val="00F05FD0"/>
    <w:rsid w:val="00F06274"/>
    <w:rsid w:val="00F07020"/>
    <w:rsid w:val="00F0768A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147"/>
    <w:rsid w:val="00F21533"/>
    <w:rsid w:val="00F2165F"/>
    <w:rsid w:val="00F218DD"/>
    <w:rsid w:val="00F21C5B"/>
    <w:rsid w:val="00F22046"/>
    <w:rsid w:val="00F2237A"/>
    <w:rsid w:val="00F22414"/>
    <w:rsid w:val="00F2287B"/>
    <w:rsid w:val="00F229CB"/>
    <w:rsid w:val="00F22CB7"/>
    <w:rsid w:val="00F23CCC"/>
    <w:rsid w:val="00F24106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3358"/>
    <w:rsid w:val="00F34907"/>
    <w:rsid w:val="00F34A8A"/>
    <w:rsid w:val="00F3513C"/>
    <w:rsid w:val="00F3550F"/>
    <w:rsid w:val="00F355B3"/>
    <w:rsid w:val="00F35E77"/>
    <w:rsid w:val="00F36584"/>
    <w:rsid w:val="00F36754"/>
    <w:rsid w:val="00F374A0"/>
    <w:rsid w:val="00F37B4E"/>
    <w:rsid w:val="00F37B57"/>
    <w:rsid w:val="00F4050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77D3"/>
    <w:rsid w:val="00F50828"/>
    <w:rsid w:val="00F51556"/>
    <w:rsid w:val="00F51A0E"/>
    <w:rsid w:val="00F51B67"/>
    <w:rsid w:val="00F52500"/>
    <w:rsid w:val="00F52F79"/>
    <w:rsid w:val="00F5341B"/>
    <w:rsid w:val="00F5344F"/>
    <w:rsid w:val="00F53546"/>
    <w:rsid w:val="00F53D67"/>
    <w:rsid w:val="00F54979"/>
    <w:rsid w:val="00F54C7F"/>
    <w:rsid w:val="00F5562E"/>
    <w:rsid w:val="00F559EE"/>
    <w:rsid w:val="00F568E3"/>
    <w:rsid w:val="00F56BEC"/>
    <w:rsid w:val="00F56EC0"/>
    <w:rsid w:val="00F57610"/>
    <w:rsid w:val="00F57639"/>
    <w:rsid w:val="00F57709"/>
    <w:rsid w:val="00F6016A"/>
    <w:rsid w:val="00F60D0C"/>
    <w:rsid w:val="00F6184E"/>
    <w:rsid w:val="00F619EA"/>
    <w:rsid w:val="00F6214C"/>
    <w:rsid w:val="00F62A87"/>
    <w:rsid w:val="00F63677"/>
    <w:rsid w:val="00F63878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86B"/>
    <w:rsid w:val="00F660AB"/>
    <w:rsid w:val="00F660D1"/>
    <w:rsid w:val="00F66DEB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4CC9"/>
    <w:rsid w:val="00F86290"/>
    <w:rsid w:val="00F863E5"/>
    <w:rsid w:val="00F8645F"/>
    <w:rsid w:val="00F87D8A"/>
    <w:rsid w:val="00F9025F"/>
    <w:rsid w:val="00F903F6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5674"/>
    <w:rsid w:val="00F95BBA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E51"/>
    <w:rsid w:val="00FA24E8"/>
    <w:rsid w:val="00FA2BAC"/>
    <w:rsid w:val="00FA3FF1"/>
    <w:rsid w:val="00FA403C"/>
    <w:rsid w:val="00FA404E"/>
    <w:rsid w:val="00FA44C5"/>
    <w:rsid w:val="00FA5083"/>
    <w:rsid w:val="00FA5BF4"/>
    <w:rsid w:val="00FA5D3A"/>
    <w:rsid w:val="00FA5DA6"/>
    <w:rsid w:val="00FA5E93"/>
    <w:rsid w:val="00FA64F7"/>
    <w:rsid w:val="00FA67B7"/>
    <w:rsid w:val="00FA72DC"/>
    <w:rsid w:val="00FA7700"/>
    <w:rsid w:val="00FB0E9C"/>
    <w:rsid w:val="00FB12E6"/>
    <w:rsid w:val="00FB1651"/>
    <w:rsid w:val="00FB1714"/>
    <w:rsid w:val="00FB1BB1"/>
    <w:rsid w:val="00FB2176"/>
    <w:rsid w:val="00FB2314"/>
    <w:rsid w:val="00FB2464"/>
    <w:rsid w:val="00FB354B"/>
    <w:rsid w:val="00FB39CF"/>
    <w:rsid w:val="00FB414B"/>
    <w:rsid w:val="00FB4714"/>
    <w:rsid w:val="00FB6302"/>
    <w:rsid w:val="00FB6690"/>
    <w:rsid w:val="00FB709E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8AA"/>
    <w:rsid w:val="00FC654E"/>
    <w:rsid w:val="00FC6BF6"/>
    <w:rsid w:val="00FC6FE5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FC1"/>
    <w:rsid w:val="00FD40F9"/>
    <w:rsid w:val="00FD49A7"/>
    <w:rsid w:val="00FD5651"/>
    <w:rsid w:val="00FD5845"/>
    <w:rsid w:val="00FD5D86"/>
    <w:rsid w:val="00FD5E38"/>
    <w:rsid w:val="00FD616F"/>
    <w:rsid w:val="00FD6503"/>
    <w:rsid w:val="00FD6535"/>
    <w:rsid w:val="00FD6D28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777"/>
    <w:rsid w:val="00FE69A6"/>
    <w:rsid w:val="00FE6CD2"/>
    <w:rsid w:val="00FE714B"/>
    <w:rsid w:val="00FE7869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2AECE852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216E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2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yperlink" Target="https://dokumenty.truni.sk/sites/default/files/u1/2018/dodatok_c._1_ku_kolektivnej_zmluve_2017-2018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kumenty.truni.sk/sites/default/files/u1/2018/vyhlaska_o_skolnom_2019_2020.pdf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s://dokumenty.truni.sk/sites/default/files/u1/2018/dodatok_c._1_k_smernici_o_dph_1-2011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kumenty.truni.sk/sites/default/files/u1/2018/dodatok_c.3_o_obehu_uct.dokl_.-1.pdf" TargetMode="External"/><Relationship Id="rId20" Type="http://schemas.openxmlformats.org/officeDocument/2006/relationships/hyperlink" Target="https://dokumenty.truni.sk/sites/default/files/u1/2018/priloha1_opatrenie_inv_2018_podpi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okumenty.truni.sk/sites/default/files/u1/2018/cennik_najomneho_bytovych_a_nebytovych_priestorov_tu_2018.pdf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hyperlink" Target="https://dokumenty.truni.sk/sites/default/files/u1/2018/opatrenie_inv_2018_podpis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81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pattFill prst="wdUpDiag">
          <a:fgClr>
            <a:schemeClr val="accent5">
              <a:lumMod val="60000"/>
              <a:lumOff val="40000"/>
            </a:schemeClr>
          </a:fgClr>
          <a:bgClr>
            <a:schemeClr val="bg1"/>
          </a:bgClr>
        </a:pattFill>
        <a:ln w="12700">
          <a:solidFill>
            <a:srgbClr val="00B0F0"/>
          </a:solidFill>
          <a:prstDash val="solid"/>
        </a:ln>
      </c:spPr>
    </c:sideWall>
    <c:backWall>
      <c:thickness val="0"/>
      <c:spPr>
        <a:solidFill>
          <a:schemeClr val="accent3">
            <a:lumMod val="40000"/>
            <a:lumOff val="60000"/>
          </a:schemeClr>
        </a:solidFill>
        <a:ln w="12700">
          <a:solidFill>
            <a:srgbClr val="00B0F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651299796563029"/>
          <c:y val="7.2203218450152762E-2"/>
          <c:w val="0.77101939198187519"/>
          <c:h val="0.78274213674110393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dPt>
            <c:idx val="0"/>
            <c:invertIfNegative val="1"/>
            <c:bubble3D val="0"/>
            <c:spPr>
              <a:solidFill>
                <a:srgbClr val="92D05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1FD-4FE0-A0B9-18AFF3CFEDE5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F1FD-4FE0-A0B9-18AFF3CFED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aseline="0">
                    <a:solidFill>
                      <a:schemeClr val="tx1"/>
                    </a:solidFill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Sheet1!$A$1:$H$1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Sheet1!$A$2:$H$2</c:f>
              <c:numCache>
                <c:formatCode>#,##0</c:formatCode>
                <c:ptCount val="8"/>
                <c:pt idx="0">
                  <c:v>615576</c:v>
                </c:pt>
                <c:pt idx="1">
                  <c:v>766423</c:v>
                </c:pt>
                <c:pt idx="2">
                  <c:v>217000</c:v>
                </c:pt>
                <c:pt idx="3">
                  <c:v>104911</c:v>
                </c:pt>
                <c:pt idx="4">
                  <c:v>-225854</c:v>
                </c:pt>
                <c:pt idx="5">
                  <c:v>948538</c:v>
                </c:pt>
                <c:pt idx="6">
                  <c:v>263701.17</c:v>
                </c:pt>
                <c:pt idx="7">
                  <c:v>79237.850000000006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3-F1FD-4FE0-A0B9-18AFF3CFE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112144768"/>
        <c:axId val="112146304"/>
        <c:axId val="0"/>
      </c:bar3DChart>
      <c:catAx>
        <c:axId val="112144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2146304"/>
        <c:crosses val="autoZero"/>
        <c:auto val="1"/>
        <c:lblAlgn val="ctr"/>
        <c:lblOffset val="100"/>
        <c:noMultiLvlLbl val="0"/>
      </c:catAx>
      <c:valAx>
        <c:axId val="112146304"/>
        <c:scaling>
          <c:orientation val="minMax"/>
        </c:scaling>
        <c:delete val="0"/>
        <c:axPos val="l"/>
        <c:majorGridlines>
          <c:spPr>
            <a:ln>
              <a:noFill/>
            </a:ln>
            <a:effectLst>
              <a:innerShdw blurRad="63500" dist="50800" dir="16200000">
                <a:prstClr val="black">
                  <a:alpha val="43000"/>
                </a:prstClr>
              </a:innerShdw>
            </a:effectLst>
          </c:spPr>
        </c:majorGridlines>
        <c:numFmt formatCode="#,##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k-SK"/>
          </a:p>
        </c:txPr>
        <c:crossAx val="112144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  <a:effectLst>
      <a:innerShdw blurRad="63500" dist="50800" dir="16200000">
        <a:prstClr val="black">
          <a:alpha val="50000"/>
        </a:prstClr>
      </a:innerShdw>
    </a:effectLst>
  </c:spPr>
  <c:txPr>
    <a:bodyPr/>
    <a:lstStyle/>
    <a:p>
      <a:pPr>
        <a:defRPr sz="1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k-S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8597154893004917E-2"/>
          <c:y val="0.22341931396506476"/>
          <c:w val="0.73265147906333761"/>
          <c:h val="0.62978972456029203"/>
        </c:manualLayout>
      </c:layout>
      <c:pie3D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Predaj</c:v>
                </c:pt>
              </c:strCache>
            </c:strRef>
          </c:tx>
          <c:explosion val="24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95C-4039-A433-CA3C03A341A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95C-4039-A433-CA3C03A341A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4-095C-4039-A433-CA3C03A341AC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6-095C-4039-A433-CA3C03A341AC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95C-4039-A433-CA3C03A341AC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095C-4039-A433-CA3C03A341AC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95C-4039-A433-CA3C03A341AC}"/>
                </c:ext>
              </c:extLst>
            </c:dLbl>
            <c:dLbl>
              <c:idx val="2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4-095C-4039-A433-CA3C03A341AC}"/>
                </c:ext>
              </c:extLst>
            </c:dLbl>
            <c:dLbl>
              <c:idx val="3"/>
              <c:tx>
                <c:rich>
                  <a:bodyPr rot="0" spcFirstLastPara="1" vertOverflow="overflow" horzOverflow="overflow" vert="horz" wrap="square" lIns="38100" tIns="19050" rIns="38100" bIns="19050" anchor="t" anchorCtr="0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3EB7E6F-DADB-4314-A10D-3FA065E44E7E}" type="CATEGORYNAME">
                      <a:rPr lang="en-US">
                        <a:solidFill>
                          <a:srgbClr val="FF0000"/>
                        </a:solidFill>
                      </a:rPr>
                      <a:pPr>
                        <a:defRPr spc="0">
                          <a:solidFill>
                            <a:schemeClr val="accent1"/>
                          </a:solidFill>
                        </a:defRPr>
                      </a:pPr>
                      <a:t>[NÁZOV KATEGÓRIE]</a:t>
                    </a:fld>
                    <a:r>
                      <a:rPr lang="en-US" baseline="0">
                        <a:solidFill>
                          <a:srgbClr val="FF0000"/>
                        </a:solidFill>
                      </a:rPr>
                      <a:t>
</a:t>
                    </a:r>
                    <a:fld id="{B2EDFCA9-5E85-4351-A486-524D43E8B64F}" type="PERCENTAGE">
                      <a:rPr lang="en-US" baseline="0">
                        <a:solidFill>
                          <a:srgbClr val="FF0000"/>
                        </a:solidFill>
                      </a:rPr>
                      <a:pPr>
                        <a:defRPr spc="0">
                          <a:solidFill>
                            <a:schemeClr val="accent1"/>
                          </a:solidFill>
                        </a:defRPr>
                      </a:pPr>
                      <a:t>[PERCENTO]</a:t>
                    </a:fld>
                    <a:endParaRPr lang="en-US" baseline="0">
                      <a:solidFill>
                        <a:srgbClr val="FF0000"/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95C-4039-A433-CA3C03A341AC}"/>
                </c:ext>
              </c:extLst>
            </c:dLbl>
            <c:dLbl>
              <c:idx val="4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overflow" horzOverflow="overflow" vert="horz" wrap="square" lIns="38100" tIns="19050" rIns="38100" bIns="19050" anchor="t" anchorCtr="0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k-SK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095C-4039-A433-CA3C03A341AC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t" anchorCtr="0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Hárok1!$A$2:$A$6</c:f>
              <c:strCache>
                <c:ptCount val="4"/>
                <c:pt idx="0">
                  <c:v>077 11</c:v>
                </c:pt>
                <c:pt idx="1">
                  <c:v>077 12</c:v>
                </c:pt>
                <c:pt idx="2">
                  <c:v>07713</c:v>
                </c:pt>
                <c:pt idx="3">
                  <c:v>077 15</c:v>
                </c:pt>
              </c:strCache>
            </c:strRef>
          </c:cat>
          <c:val>
            <c:numRef>
              <c:f>Hárok1!$B$2:$B$6</c:f>
              <c:numCache>
                <c:formatCode>#,##0.00</c:formatCode>
                <c:ptCount val="5"/>
                <c:pt idx="0">
                  <c:v>7876127</c:v>
                </c:pt>
                <c:pt idx="1">
                  <c:v>3942993</c:v>
                </c:pt>
                <c:pt idx="2">
                  <c:v>21906</c:v>
                </c:pt>
                <c:pt idx="3">
                  <c:v>777574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95C-4039-A433-CA3C03A341A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pattFill prst="wdDnDiag">
          <a:fgClr>
            <a:schemeClr val="accent5">
              <a:lumMod val="40000"/>
              <a:lumOff val="60000"/>
            </a:schemeClr>
          </a:fgClr>
          <a:bgClr>
            <a:schemeClr val="bg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bg1">
          <a:lumMod val="95000"/>
        </a:schemeClr>
      </a:solidFill>
      <a:miter lim="800000"/>
    </a:ln>
    <a:effectLst>
      <a:innerShdw blurRad="635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46808951512639"/>
          <c:y val="0.14216922597319012"/>
          <c:w val="0.75571686351706036"/>
          <c:h val="0.772384076990376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4722222222222224E-2"/>
                  <c:y val="-3.9682539682539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7B-4045-B9F3-6BC70EA9CCCE}"/>
                </c:ext>
              </c:extLst>
            </c:dLbl>
            <c:dLbl>
              <c:idx val="1"/>
              <c:layout>
                <c:manualLayout>
                  <c:x val="-3.2407407407407406E-2"/>
                  <c:y val="-7.936507936507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Hárok1!$B$2:$B$3</c:f>
              <c:numCache>
                <c:formatCode>#,##0</c:formatCode>
                <c:ptCount val="2"/>
                <c:pt idx="0">
                  <c:v>3850832</c:v>
                </c:pt>
                <c:pt idx="1">
                  <c:v>2384971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B-4045-B9F3-6BC70EA9CCCE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3981481481481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7B-4045-B9F3-6BC70EA9CCCE}"/>
                </c:ext>
              </c:extLst>
            </c:dLbl>
            <c:dLbl>
              <c:idx val="1"/>
              <c:layout>
                <c:manualLayout>
                  <c:x val="3.935185185185185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7B-4045-B9F3-6BC70EA9CCCE}"/>
                </c:ext>
              </c:extLst>
            </c:dLbl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Hárok1!$A$2:$A$3</c:f>
              <c:strCache>
                <c:ptCount val="2"/>
                <c:pt idx="0">
                  <c:v>09413</c:v>
                </c:pt>
                <c:pt idx="1">
                  <c:v>01402</c:v>
                </c:pt>
              </c:strCache>
            </c:strRef>
          </c:cat>
          <c:val>
            <c:numRef>
              <c:f>Hárok1!$C$2:$C$3</c:f>
              <c:numCache>
                <c:formatCode>#,##0</c:formatCode>
                <c:ptCount val="2"/>
                <c:pt idx="0">
                  <c:v>4364870</c:v>
                </c:pt>
                <c:pt idx="1">
                  <c:v>2329791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67B-4045-B9F3-6BC70EA9CC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160896"/>
        <c:axId val="76723328"/>
      </c:barChart>
      <c:catAx>
        <c:axId val="681608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76723328"/>
        <c:crosses val="autoZero"/>
        <c:auto val="1"/>
        <c:lblAlgn val="ctr"/>
        <c:lblOffset val="100"/>
        <c:noMultiLvlLbl val="0"/>
      </c:catAx>
      <c:valAx>
        <c:axId val="76723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160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624161073825503"/>
          <c:y val="0.30368098159509199"/>
          <c:w val="0.24966442953020135"/>
          <c:h val="0.39570552147239257"/>
        </c:manualLayout>
      </c:layout>
      <c:pie3DChart>
        <c:varyColors val="1"/>
        <c:ser>
          <c:idx val="0"/>
          <c:order val="0"/>
          <c:spPr>
            <a:solidFill>
              <a:srgbClr val="7030A0"/>
            </a:solidFill>
          </c:spPr>
          <c:explosion val="13"/>
          <c:dPt>
            <c:idx val="0"/>
            <c:bubble3D val="0"/>
            <c:explosion val="8"/>
            <c:spPr>
              <a:solidFill>
                <a:srgbClr val="FF000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0-4FA5-4836-A482-E4F23F3C6CBA}"/>
              </c:ext>
            </c:extLst>
          </c:dPt>
          <c:dPt>
            <c:idx val="1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4FA5-4836-A482-E4F23F3C6CBA}"/>
              </c:ext>
            </c:extLst>
          </c:dPt>
          <c:dLbls>
            <c:numFmt formatCode="_(* #,##0_);_(* \(#,##0\);_(* &quot;-&quot;_);_(@_)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Sheet1!$A$1:$B$1</c:f>
              <c:strCache>
                <c:ptCount val="2"/>
                <c:pt idx="0">
                  <c:v>Dotačné</c:v>
                </c:pt>
                <c:pt idx="1">
                  <c:v>Mimodotačné</c:v>
                </c:pt>
              </c:strCache>
            </c:strRef>
          </c:cat>
          <c:val>
            <c:numRef>
              <c:f>Sheet1!$A$2:$B$2</c:f>
              <c:numCache>
                <c:formatCode>_(* #,##0_);_(* \(#,##0\);_(* "-"_);_(@_)</c:formatCode>
                <c:ptCount val="2"/>
                <c:pt idx="0">
                  <c:v>7265114</c:v>
                </c:pt>
                <c:pt idx="1">
                  <c:v>649090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Sheet1!#ODKAZ!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15:tx>
              </c15:filteredSeriesTitle>
            </c:ext>
            <c:ext xmlns:c16="http://schemas.microsoft.com/office/drawing/2014/chart" uri="{C3380CC4-5D6E-409C-BE32-E72D297353CC}">
              <c16:uniqueId val="{00000003-4FA5-4836-A482-E4F23F3C6C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zero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Hárok1!$B$2:$B$8</c:f>
              <c:numCache>
                <c:formatCode>#,##0</c:formatCode>
                <c:ptCount val="7"/>
                <c:pt idx="0">
                  <c:v>1466</c:v>
                </c:pt>
                <c:pt idx="1">
                  <c:v>1152</c:v>
                </c:pt>
                <c:pt idx="2" formatCode="General">
                  <c:v>968</c:v>
                </c:pt>
                <c:pt idx="3">
                  <c:v>1144</c:v>
                </c:pt>
                <c:pt idx="4" formatCode="General">
                  <c:v>586</c:v>
                </c:pt>
                <c:pt idx="5" formatCode="General">
                  <c:v>712</c:v>
                </c:pt>
                <c:pt idx="6" formatCode="General">
                  <c:v>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6B-4467-830D-E9F4F55CB934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Hárok1!$C$2:$C$8</c:f>
              <c:numCache>
                <c:formatCode>#,##0</c:formatCode>
                <c:ptCount val="7"/>
                <c:pt idx="0">
                  <c:v>1529</c:v>
                </c:pt>
                <c:pt idx="1">
                  <c:v>1255</c:v>
                </c:pt>
                <c:pt idx="2" formatCode="General">
                  <c:v>1040</c:v>
                </c:pt>
                <c:pt idx="3">
                  <c:v>1234</c:v>
                </c:pt>
                <c:pt idx="4" formatCode="General">
                  <c:v>631</c:v>
                </c:pt>
                <c:pt idx="5" formatCode="General">
                  <c:v>729</c:v>
                </c:pt>
                <c:pt idx="6" formatCode="General">
                  <c:v>813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6B-4467-830D-E9F4F55C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096384"/>
        <c:axId val="68097920"/>
      </c:barChart>
      <c:catAx>
        <c:axId val="6809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7920"/>
        <c:crosses val="autoZero"/>
        <c:auto val="1"/>
        <c:lblAlgn val="ctr"/>
        <c:lblOffset val="100"/>
        <c:noMultiLvlLbl val="0"/>
      </c:catAx>
      <c:valAx>
        <c:axId val="6809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C5A96-5B89-4A67-8C42-C9F72D70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3776</TotalTime>
  <Pages>26</Pages>
  <Words>7222</Words>
  <Characters>43766</Characters>
  <Application>Microsoft Office Word</Application>
  <DocSecurity>0</DocSecurity>
  <Lines>364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Osvaldová Kamila</cp:lastModifiedBy>
  <cp:revision>617</cp:revision>
  <cp:lastPrinted>2019-04-17T11:54:00Z</cp:lastPrinted>
  <dcterms:created xsi:type="dcterms:W3CDTF">2017-04-07T05:20:00Z</dcterms:created>
  <dcterms:modified xsi:type="dcterms:W3CDTF">2019-04-18T05:59:00Z</dcterms:modified>
</cp:coreProperties>
</file>